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1-4</w:t>
      </w:r>
    </w:p>
    <w:p>
      <w:pPr>
        <w:spacing w:line="520" w:lineRule="exact"/>
        <w:jc w:val="center"/>
        <w:rPr>
          <w:rFonts w:hint="eastAsia" w:asciiTheme="majorEastAsia" w:hAnsiTheme="majorEastAsia" w:eastAsiaTheme="majorEastAsia" w:cs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val="en-US" w:eastAsia="zh-CN"/>
        </w:rPr>
        <w:t>泰安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沪农商村镇银行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val="en-US" w:eastAsia="zh-CN"/>
        </w:rPr>
        <w:t>重大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关联交易报告</w:t>
      </w:r>
    </w:p>
    <w:p>
      <w:pPr>
        <w:spacing w:line="52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spacing w:line="520" w:lineRule="exact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各位股东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：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近期，本行拟与上海农村商业银行股份有限公司（以下简称“主发起行”）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针对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委托本行清收处置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不良贷款超出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其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出资额度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的部分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向本行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支付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委托代理费</w:t>
      </w:r>
      <w:r>
        <w:rPr>
          <w:rFonts w:hint="eastAsia" w:ascii="仿宋_GB2312" w:hAnsi="仿宋_GB2312" w:eastAsia="仿宋_GB2312" w:cs="仿宋_GB2312"/>
          <w:sz w:val="32"/>
          <w:szCs w:val="32"/>
        </w:rPr>
        <w:t>。现就有关情况汇报如下：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一、关联方介绍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海农村商业银行股份有限公司于2005年8月23日在上海市注册成立，是由国资控股、总部设在上海，经中国银行业监督管理委员会正式批准成立的股份制商业银行。法定代表人徐力，现注册资本人民币96.44亿元，2021年在上海证券交易所上市，股票简称：沪农商行，股票代码：601825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海农村商业银行股份有限公司持有本行股份10166.58万元股，占本行总股本比例为81.46%，根据《银行保险机构关联交易管理办法》的规定，该公司应为本行的关联方，该关联方与本行开展授信、资产转移、提供服务等，应遵照关联交易相关管理规定执行，本次发生的委托代理费收取属关联交易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关联交易概述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2017年</w:t>
      </w:r>
      <w:r>
        <w:rPr>
          <w:rFonts w:hint="eastAsia" w:ascii="仿宋_GB2312" w:eastAsia="仿宋_GB2312"/>
          <w:bCs w:val="0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主发起行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出资</w:t>
      </w:r>
      <w:r>
        <w:rPr>
          <w:rFonts w:hint="eastAsia" w:ascii="仿宋_GB2312" w:eastAsia="仿宋_GB2312" w:hAnsiTheme="minorHAnsi" w:cstheme="minorBidi"/>
          <w:i w:val="0"/>
          <w:color w:val="auto"/>
          <w:kern w:val="2"/>
          <w:sz w:val="32"/>
          <w:szCs w:val="32"/>
          <w:u w:val="none"/>
          <w:lang w:val="en-US" w:eastAsia="zh-CN" w:bidi="ar"/>
        </w:rPr>
        <w:t>2,014.05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万元收购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本行70户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共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计</w:t>
      </w:r>
      <w:r>
        <w:rPr>
          <w:rFonts w:hint="eastAsia" w:ascii="仿宋_GB2312" w:eastAsia="仿宋_GB2312" w:hAnsiTheme="minorHAnsi" w:cstheme="minorBidi"/>
          <w:i w:val="0"/>
          <w:color w:val="auto"/>
          <w:kern w:val="2"/>
          <w:sz w:val="32"/>
          <w:szCs w:val="32"/>
          <w:u w:val="none"/>
          <w:lang w:val="en-US" w:eastAsia="zh-CN" w:bidi="ar"/>
        </w:rPr>
        <w:t>10,822.39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万元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不良贷款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分别签订了《不良资产重组化解合同》（附件1）和《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不良资产委托管理合同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》（附件2），同时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委托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本行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负责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主发起行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收购不良贷款的清收处置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工作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，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若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后续现金清收所得超出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主发起行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出资额度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则在剔除相应清收成本（包括但不限于诉讼费、律师费等）后，主发起行以差额部分的80%为上限向本行支付委托代理费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，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每半年清算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一次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本次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拟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清算并收取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2022年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下半年委托代理费。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拟清算2022年下半年度委托代理费59.6万元，从2022年初至本次（含本次）累计交易金额173.54万元，占本行上季末资本净额的6.7%，构成重大关联交易，由本行董事会风险合规与关联交易控制委员会审议后，提交董事会审批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但因本行董事闵亮、匡燕芳属主发起行人员，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应作回避，回避后无法召开董事会，故需提交股东大会予以审议。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三、关联交易的定价依据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行与上述关联方开展的服务类关联交易业务，符合监管部门相关法规要求及本行关联交易管理相关规定，已按照合规、公平原则签订《不良资产重组化解合同》《不良资产委托管理合同》，本行对上述关联方交易按照《不良资产委托管理合同》约定的条件进行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四、关联交易的影响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上述关联交易是本行提供不良资产清收处置服务后，收取上述关联方委托代理费的正常业务，对公司持续经营能力、损益及资产状况不构成重要影响。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特此报告。</w:t>
      </w:r>
    </w:p>
    <w:p>
      <w:pPr>
        <w:wordWrap w:val="0"/>
        <w:spacing w:line="540" w:lineRule="exact"/>
        <w:ind w:firstLine="4480" w:firstLineChars="14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报告人：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董事长 方建苠</w:t>
      </w:r>
    </w:p>
    <w:p>
      <w:pPr>
        <w:spacing w:line="540" w:lineRule="exact"/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03055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KGWebUrl" w:val="http://coa.shrcb/weaver/weaver.file.FileDownloadForNews?uuid=7e3e3a9d-f207-4a4b-a7a7-54d476d48528&amp;fileid=168667&amp;type=document&amp;isofficeview=0"/>
  </w:docVars>
  <w:rsids>
    <w:rsidRoot w:val="00132778"/>
    <w:rsid w:val="00030D36"/>
    <w:rsid w:val="00065BA8"/>
    <w:rsid w:val="000C57BD"/>
    <w:rsid w:val="000E11F7"/>
    <w:rsid w:val="000F4A99"/>
    <w:rsid w:val="00132778"/>
    <w:rsid w:val="0016723F"/>
    <w:rsid w:val="002249F3"/>
    <w:rsid w:val="00286654"/>
    <w:rsid w:val="002E7F3A"/>
    <w:rsid w:val="00354718"/>
    <w:rsid w:val="003919AA"/>
    <w:rsid w:val="003C24A5"/>
    <w:rsid w:val="003E0FD9"/>
    <w:rsid w:val="00424E17"/>
    <w:rsid w:val="00433054"/>
    <w:rsid w:val="004351B2"/>
    <w:rsid w:val="00467C8F"/>
    <w:rsid w:val="004D1F04"/>
    <w:rsid w:val="004D476D"/>
    <w:rsid w:val="00581AFD"/>
    <w:rsid w:val="00587739"/>
    <w:rsid w:val="005E7D61"/>
    <w:rsid w:val="0061129B"/>
    <w:rsid w:val="007157B5"/>
    <w:rsid w:val="00734832"/>
    <w:rsid w:val="00754FCE"/>
    <w:rsid w:val="008E1E29"/>
    <w:rsid w:val="0091594A"/>
    <w:rsid w:val="00951601"/>
    <w:rsid w:val="009B2EB1"/>
    <w:rsid w:val="00A21F69"/>
    <w:rsid w:val="00AB77C1"/>
    <w:rsid w:val="00AD57DE"/>
    <w:rsid w:val="00B01B7D"/>
    <w:rsid w:val="00B05D71"/>
    <w:rsid w:val="00B10C1B"/>
    <w:rsid w:val="00B155CC"/>
    <w:rsid w:val="00B22442"/>
    <w:rsid w:val="00B94300"/>
    <w:rsid w:val="00BA2241"/>
    <w:rsid w:val="00BE57B3"/>
    <w:rsid w:val="00C316E4"/>
    <w:rsid w:val="00C9176B"/>
    <w:rsid w:val="00D055E3"/>
    <w:rsid w:val="00D30403"/>
    <w:rsid w:val="00D808B8"/>
    <w:rsid w:val="00E00B51"/>
    <w:rsid w:val="00E559FA"/>
    <w:rsid w:val="00EB6CF9"/>
    <w:rsid w:val="00EF44C7"/>
    <w:rsid w:val="00F201D0"/>
    <w:rsid w:val="00F24449"/>
    <w:rsid w:val="0743289B"/>
    <w:rsid w:val="0E390155"/>
    <w:rsid w:val="17D250D4"/>
    <w:rsid w:val="1A866409"/>
    <w:rsid w:val="266F0699"/>
    <w:rsid w:val="27E14FC7"/>
    <w:rsid w:val="29345E7C"/>
    <w:rsid w:val="2CE41EE0"/>
    <w:rsid w:val="336942CD"/>
    <w:rsid w:val="35CB7240"/>
    <w:rsid w:val="4781194B"/>
    <w:rsid w:val="4CFB7351"/>
    <w:rsid w:val="513B76FD"/>
    <w:rsid w:val="567E62E4"/>
    <w:rsid w:val="58F95D2C"/>
    <w:rsid w:val="692C7691"/>
    <w:rsid w:val="6BD32236"/>
    <w:rsid w:val="7ACB6528"/>
    <w:rsid w:val="7E0577DF"/>
    <w:rsid w:val="7F982CDE"/>
    <w:rsid w:val="7FE547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435</Words>
  <Characters>441</Characters>
  <Lines>30</Lines>
  <Paragraphs>16</Paragraphs>
  <TotalTime>4</TotalTime>
  <ScaleCrop>false</ScaleCrop>
  <LinksUpToDate>false</LinksUpToDate>
  <CharactersWithSpaces>462</CharactersWithSpaces>
  <Application>WPS Office_11.8.2.9075_F1E327BC-269C-435d-A152-05C5408002CA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2021-05-18T00:50:00Z</dcterms:created>
  <dc:creator>陆晨琦</dc:creator>
  <cp:lastModifiedBy>HUAWEI</cp:lastModifiedBy>
  <cp:lastPrinted>2023-04-03T09:44:16Z</cp:lastPrinted>
  <dcterms:modified xsi:type="dcterms:W3CDTF">2023-04-03T09:44:20Z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2052-11.8.2.9075</vt:lpwstr>
  </property>
</Properties>
</file>