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  <w:t>泰安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沪农商村镇银行关联交易情况报告</w:t>
      </w:r>
    </w:p>
    <w:p>
      <w:pPr>
        <w:spacing w:line="520" w:lineRule="exact"/>
        <w:ind w:firstLine="426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因《银行保险机构关联交易管理办法》（中国银行保险监督管理委员会令〔2022〕1号）于2022年3月1日起实施并设有一年过渡期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2023年1季度末，我行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《中华人民共和国公司法》《中华人民共和国商业银行法》《银行保险机构公司治理准则》《银行保险机构关联交易管理办法》（中国银行保险监督管理委员会令〔2022〕1号）等法律法规及《泰安沪农商村镇银行关联交易管理办法（2022年12月修订）》制度规定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将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2022年3月1日至2023年3月31日期间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发生的关联交易进行了自查，并根据关联交易类型进行了相应的报备和审议流程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具体情况如下：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一、总体情况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1季度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报告期内，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本行</w:t>
      </w:r>
      <w:r>
        <w:rPr>
          <w:rFonts w:hint="eastAsia" w:ascii="仿宋_GB2312" w:hAnsi="仿宋_GB2312" w:eastAsia="仿宋_GB2312" w:cs="仿宋_GB2312"/>
          <w:sz w:val="32"/>
          <w:szCs w:val="32"/>
        </w:rPr>
        <w:t>关联交易累计发生额为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168973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万元。截至报告期末，关联交易余额为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822.67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二、关联方介绍及具体关联交易情况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ascii="仿宋_GB2312" w:hAnsi="仿宋_GB2312" w:eastAsia="仿宋_GB2312" w:cs="仿宋_GB2312"/>
          <w:sz w:val="32"/>
          <w:szCs w:val="32"/>
        </w:rPr>
        <w:t>关联方的基本情况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1、关联自然人情况：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截至报告期末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，本行关联自然人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173个。其中属本行的自然人控股股东、实控人，及其一致行动人、最终受益人0个；属持有或控制本行5%以上股权或持股不足5%但对村行经营管理有重大影响的自然人0个；属本行的董事、监事、高级管理人、具有大额授信、资产转移等核心业务审批或决策人19个；其他关联自然人154个。具体关联方信息参见附件1-1。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2、关联法人或非法人组织情况：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截至报告期末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，本行关联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人或非法人组织86个。其中：属本行的法人控股股东、实控人，及其一致行动人、最终受益人1个；属持有或控制本行5%以上股权或持股不足5%但对村行经营管理有重大影响的法人、非法人组织，及其控股股东、实际控制人、最终受益人4个；其他法人或非法人组织关联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81个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。具体关联方信息参见附件1-1。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（二）关联交易情况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</w:t>
      </w:r>
      <w:r>
        <w:rPr>
          <w:rFonts w:ascii="仿宋_GB2312" w:hAnsi="仿宋_GB2312" w:eastAsia="仿宋_GB2312" w:cs="仿宋_GB2312"/>
          <w:sz w:val="32"/>
          <w:szCs w:val="32"/>
        </w:rPr>
        <w:t>授信类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关联交易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与上海农商银行同业授信一般关联交易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行分别于2021年10月25日、2022年6月30日获批存放上海农村商业银行股份有限公司同业授信额度20000万元，期限1年，交易范围为结算、投融资。2022年3月1日至2023年3月31日，我行向上海农村商业银行股份有限公司存放同业定期存款共计40笔、168500万元，交易的金额及相应比例详见附件1-2：《2022年3月1日至2023年3月31日与上农商同业交易明细》。本行与上海农村商业银行股份有限公司交易依据合规、公平原则，支付标准按照不优于对非关联方同类交易的条件进行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资产转移类关联交易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服务类关联交易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（1）向上海农商银行支付服务费一般关联交易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为提高本行经营效率，降低运营成本，防范系统风险，本行委托上海农商银行提供各项服务支持，包括人事、业务、系统等的运营、管理、保障、咨询等所需支付的费用。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行2022年报告期内，上述关联交易累计发生额为8.91万元，为上季末资本净额的0.38%，关联交易类型为服务类。从2022年初累计至本次（含本次），上述关联交易累计交易金额为8.91万元，占本行上季末资本净额的0.38%。本次计费周期内清算明细见本行与主发起行签订的《村镇银行服务补充协议》，清算款项已于2022年12月31日前支付到位。</w:t>
      </w:r>
    </w:p>
    <w:p>
      <w:pPr>
        <w:numPr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（2）收取主发起行委托代理费重大关联交易</w:t>
      </w:r>
    </w:p>
    <w:p>
      <w:pPr>
        <w:numPr>
          <w:numId w:val="0"/>
        </w:num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2017年，主发起行出资2,014.05万元收购本行70户共计10,822.39万元的不良贷款，分别签订了《不良资产重组化解合同》（附件1）和《不良资产委托管理合同》（附件2），同时委托本行负责主发起行收购不良贷款的清收处置工作，若后续现金清收所得超出主发起行出资额度，则在剔除相应清收成本（包括但不限于诉讼费、律师费等）后，主发起行以差额部分的80%为上限向本行支付委托代理费，每半年清算一次，本次拟清算并收取2022年下半年委托代理费。</w:t>
      </w:r>
    </w:p>
    <w:p>
      <w:pPr>
        <w:numPr>
          <w:numId w:val="0"/>
        </w:num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拟清算2022年下半年度委托代理费59.6万元，从2022年初至本次（含本次）累计交易金额173.54万元，占本行上季末资本净额的6.7%，构成重大关联交易，由本行董事会风险合规与关联交易控制委员会审议后，提交董事会审批，但因本行董事闵亮、匡燕芳属主发起行人员，应作回避，回避后无法召开董事会，故需提交股东大会予以审议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存款和其他类型关联交易</w:t>
      </w:r>
    </w:p>
    <w:p>
      <w:pPr>
        <w:numPr>
          <w:numId w:val="0"/>
        </w:num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（1）非同业定期存款一般关联交易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方建苠，2022年3月1日-2023年3月31日共发生交易3笔、10.19万元。上述交易未达到重大关联交易认定标准。具体交易金额及占资本净额比例详见附件《2022年3月1日至2023年3月31日非同业定期存款关联交易明细》。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赵咏莉（与于学军、于欣彤合并计算），2022年3月1日-2023年3月31日共发生交易3笔、34.84万元。上述交易未达到重大关联交易认定标准。具体交易金额及占资本净额比例详见附件《2022年3月1日至2023年3月31日非同业定期存款关联交易明细》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魏超（与李吉兰、李德俭合并计算），本次发生交易0.104112万元，占上季度末资本净额的0.0040%；2022年3月1日-2023年3月31日共发生交易6笔、累计111.229112万元，占上季度末资本净额的4.29%。上述交易未达到重大关联交易认定标准。具体交易金额及占资本净额比例详见附件《2022年3月1日至2023年3月31日非同业定期存款关联交易明细》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刘德良，2022年3月1日-2023年3月31日共发生交易7笔、14.01万元。上述交易未达到重大关联交易认定标准。具体交易金额及占资本净额比例详见附件《2022年3月1日至2023年3月31日非同业定期存款关联交易明细》。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尚晓莉（与陈秀英合并计算），2022年3月1日-2023年3月31日共发生交易2笔、25万元。上述交易未达到重大关联交易认定标准。具体交易金额及占资本净额比例详见附件《2022年3月1日至2023年3月31日非同业定期存款关联交易明细》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林园园，2022年3月1日-2023年3月31日共发生交易8笔、10万元。上述交易未达到重大关联交易认定标准。具体交易金额及占资本净额比例详见附件《2022年3月1日至2023年3月31日非同业定期存款关联交易明细》。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雨颖（与杨忠莲合并计算），2022年3月1日-2023年3月31日共发生交易9笔、51.02万元。上述交易未达到重大关联交易认定标准。具体交易金额及占资本净额比例详见附件《2022年3月1日至2023年3月31日非同业定期存款关联交易明细》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乔东利、王希芸、郁莉莉（作为乔迁关联方合并计算），2022年3月1日-2023年3月31日共发生交易6笔、32.04万元。上述交易未达到重大关联交易认定标准。具体交易金额及占资本净额比例详见附件《2022年3月1日至2023年3月31日非同业定期存款关联交易明细》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陈珊珊，2022年3月1日-2023年3月31日共发生交易11笔、2.22万元。上述交易未达到重大关联交易认定标准。具体交易金额及占资本净额比例详见附件《2022年3月1日至2023年3月31日非同业定期存款关联交易明细》。</w:t>
      </w:r>
    </w:p>
    <w:p>
      <w:pPr>
        <w:numPr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（2）魏超关联方向泰安沪农商村镇银行办理定期存款业务重大关联交易</w:t>
      </w:r>
    </w:p>
    <w:p>
      <w:pPr>
        <w:numPr>
          <w:numId w:val="0"/>
        </w:numPr>
        <w:spacing w:line="560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2023年1月12日，李德俭办理本行定期存款业务一笔，本次交易金额51.125万元，累计交易金额61.228056万元（其中：李吉兰10万元、魏超0.103056万元）。本次比例1.97%，累计比例2.36%。因本次交易金额超过50万元，且超过上季度末资本净额1%，被认定为重大关联交易。</w:t>
      </w:r>
    </w:p>
    <w:p>
      <w:pPr>
        <w:numPr>
          <w:numId w:val="0"/>
        </w:numPr>
        <w:spacing w:line="560" w:lineRule="exact"/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2023年1月19日，李德俭办理本行定期存款业务一笔，本次交易金额50万元，累计交易金额111.228056万元（其中：李吉兰10万元、魏超0.103056万元、李德俭51.1250万元）。本次比例1.93%，累计比例4.29%。因本次交易金额超过50万元（含），且超过上季度末资本净额1%，被认定为重大关联交易。</w:t>
      </w:r>
    </w:p>
    <w:p>
      <w:pPr>
        <w:numPr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三、关联交易的合规情况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我行上述</w:t>
      </w:r>
      <w:r>
        <w:rPr>
          <w:rFonts w:hint="eastAsia" w:ascii="仿宋_GB2312" w:hAnsi="仿宋_GB2312" w:eastAsia="仿宋_GB2312" w:cs="仿宋_GB2312"/>
          <w:sz w:val="32"/>
          <w:szCs w:val="32"/>
        </w:rPr>
        <w:t>关联交易定价合理、公平，与该关联交易有关联关系的人员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均执行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回避，符合监管部门相关法规要求及本行关联交易管理相关规定，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违反关联交易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shd w:val="clear"/>
          <w:lang w:val="en-US" w:eastAsia="zh-CN" w:bidi="ar"/>
        </w:rPr>
        <w:t>禁止性规定，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流程符合本行内部控制制度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特此报告。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泰安沪农商村镇银行</w:t>
      </w:r>
    </w:p>
    <w:p>
      <w:pPr>
        <w:spacing w:line="56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2023年3月31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130BD8"/>
    <w:multiLevelType w:val="singleLevel"/>
    <w:tmpl w:val="D5130BD8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B66"/>
    <w:rsid w:val="00030D36"/>
    <w:rsid w:val="0016723F"/>
    <w:rsid w:val="001F290B"/>
    <w:rsid w:val="002014F8"/>
    <w:rsid w:val="002533B9"/>
    <w:rsid w:val="00286654"/>
    <w:rsid w:val="003640D0"/>
    <w:rsid w:val="00375FD1"/>
    <w:rsid w:val="003919AA"/>
    <w:rsid w:val="00424E17"/>
    <w:rsid w:val="00433054"/>
    <w:rsid w:val="004351B2"/>
    <w:rsid w:val="00523A1E"/>
    <w:rsid w:val="00626E42"/>
    <w:rsid w:val="00660EAF"/>
    <w:rsid w:val="006939AD"/>
    <w:rsid w:val="00734832"/>
    <w:rsid w:val="00754FCE"/>
    <w:rsid w:val="008321EB"/>
    <w:rsid w:val="008660F3"/>
    <w:rsid w:val="00951601"/>
    <w:rsid w:val="009B2EB1"/>
    <w:rsid w:val="009B45F0"/>
    <w:rsid w:val="00A16654"/>
    <w:rsid w:val="00A21F69"/>
    <w:rsid w:val="00AD57DE"/>
    <w:rsid w:val="00B155CC"/>
    <w:rsid w:val="00B22442"/>
    <w:rsid w:val="00BA2241"/>
    <w:rsid w:val="00BE57B3"/>
    <w:rsid w:val="00C06AD6"/>
    <w:rsid w:val="00C151EA"/>
    <w:rsid w:val="00C316E4"/>
    <w:rsid w:val="00CA4C18"/>
    <w:rsid w:val="00D41B48"/>
    <w:rsid w:val="00D808B8"/>
    <w:rsid w:val="00DC2B66"/>
    <w:rsid w:val="00DE5060"/>
    <w:rsid w:val="00E145FF"/>
    <w:rsid w:val="00E559FA"/>
    <w:rsid w:val="00E6670E"/>
    <w:rsid w:val="05A63E17"/>
    <w:rsid w:val="0FDF1357"/>
    <w:rsid w:val="13F27DAD"/>
    <w:rsid w:val="15064422"/>
    <w:rsid w:val="1CE57DF2"/>
    <w:rsid w:val="2758622F"/>
    <w:rsid w:val="29B84DB1"/>
    <w:rsid w:val="30222911"/>
    <w:rsid w:val="321B3183"/>
    <w:rsid w:val="34F74D2B"/>
    <w:rsid w:val="3C0A302B"/>
    <w:rsid w:val="3E7F518D"/>
    <w:rsid w:val="401B1399"/>
    <w:rsid w:val="44960687"/>
    <w:rsid w:val="48985235"/>
    <w:rsid w:val="4ABC3909"/>
    <w:rsid w:val="50417328"/>
    <w:rsid w:val="655361B4"/>
    <w:rsid w:val="6BB658BB"/>
    <w:rsid w:val="6C214523"/>
    <w:rsid w:val="6C433F78"/>
    <w:rsid w:val="75533462"/>
    <w:rsid w:val="77847039"/>
    <w:rsid w:val="7A6741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481</Words>
  <Characters>483</Characters>
  <Lines>35</Lines>
  <Paragraphs>22</Paragraphs>
  <TotalTime>5</TotalTime>
  <ScaleCrop>false</ScaleCrop>
  <LinksUpToDate>false</LinksUpToDate>
  <CharactersWithSpaces>489</CharactersWithSpaces>
  <Application>WPS Office_11.8.2.9075_F1E327BC-269C-435d-A152-05C5408002CA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2021-05-18T00:51:00Z</dcterms:created>
  <dc:creator>陆晨琦</dc:creator>
  <cp:lastModifiedBy>HUAWEI</cp:lastModifiedBy>
  <cp:lastPrinted>2022-12-14T05:52:00Z</cp:lastPrinted>
  <dcterms:modified xsi:type="dcterms:W3CDTF">2023-04-06T06:50:58Z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2052-11.8.2.9075</vt:lpwstr>
  </property>
</Properties>
</file>