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napToGrid/>
        <w:spacing w:line="600" w:lineRule="exact"/>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泰安沪农商村镇银行2024年社会责任报告</w:t>
      </w:r>
    </w:p>
    <w:p>
      <w:pPr>
        <w:pStyle w:val="2"/>
        <w:rPr>
          <w:rFonts w:hint="eastAsia"/>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6"/>
          <w:szCs w:val="36"/>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36"/>
          <w:szCs w:val="36"/>
          <w:lang w:val="en-US" w:eastAsia="zh-CN"/>
        </w:rPr>
      </w:pPr>
    </w:p>
    <w:p>
      <w:pPr>
        <w:keepNext w:val="0"/>
        <w:keepLines w:val="0"/>
        <w:pageBreakBefore w:val="0"/>
        <w:kinsoku/>
        <w:wordWrap/>
        <w:overflowPunct/>
        <w:topLinePunct w:val="0"/>
        <w:autoSpaceDE/>
        <w:autoSpaceDN/>
        <w:bidi w:val="0"/>
        <w:snapToGrid/>
        <w:spacing w:line="600" w:lineRule="exact"/>
        <w:jc w:val="center"/>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目  录</w:t>
      </w:r>
    </w:p>
    <w:p>
      <w:pPr>
        <w:keepNext w:val="0"/>
        <w:keepLines w:val="0"/>
        <w:pageBreakBefore w:val="0"/>
        <w:numPr>
          <w:ilvl w:val="0"/>
          <w:numId w:val="1"/>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社会责任概况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社会责任理念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社会责任管理 </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社会责任实践</w:t>
      </w:r>
    </w:p>
    <w:p>
      <w:pPr>
        <w:keepNext w:val="0"/>
        <w:keepLines w:val="0"/>
        <w:pageBreakBefore w:val="0"/>
        <w:numPr>
          <w:ilvl w:val="0"/>
          <w:numId w:val="1"/>
        </w:numPr>
        <w:kinsoku/>
        <w:wordWrap/>
        <w:overflowPunct/>
        <w:topLinePunct w:val="0"/>
        <w:autoSpaceDE/>
        <w:autoSpaceDN/>
        <w:bidi w:val="0"/>
        <w:snapToGrid/>
        <w:spacing w:line="600" w:lineRule="exact"/>
        <w:ind w:left="0" w:leftChars="0" w:firstLine="0" w:firstLineChars="0"/>
        <w:jc w:val="left"/>
        <w:textAlignment w:val="auto"/>
        <w:rPr>
          <w:rFonts w:hint="default" w:ascii="仿宋" w:hAnsi="仿宋" w:eastAsia="仿宋" w:cs="仿宋"/>
          <w:b w:val="0"/>
          <w:bCs w:val="0"/>
          <w:sz w:val="28"/>
          <w:szCs w:val="28"/>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第一节 社会责任概况</w:t>
      </w:r>
    </w:p>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以下要素可供参考：</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报告概况</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lang w:val="en-US" w:eastAsia="zh-CN"/>
              </w:rPr>
              <w:t>报告时间范围</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2024年1月1日至2024年12月31日，部分表述及数据适当追溯以往年份。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lang w:val="en-US" w:eastAsia="zh-CN"/>
              </w:rPr>
              <w:t>报告发布周期</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本报告为年度报告。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报告组织范围</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泰安沪农商村镇银行，为便于表达，在下述报告中简称为该行。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报告数据说明</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本报告的数据主要源于公司内部文件、报表和相关统计数据。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报告编制依据</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原中国银监会《关于加强银行业金融机构社会责任的意见》</w:t>
            </w:r>
          </w:p>
          <w:p>
            <w:pPr>
              <w:keepNext w:val="0"/>
              <w:keepLines w:val="0"/>
              <w:pageBreakBefore w:val="0"/>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中国银行业协会《中国银行业金融机构企业社会责任指引》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报告发布方式</w:t>
            </w:r>
          </w:p>
        </w:tc>
        <w:tc>
          <w:tcPr>
            <w:tcW w:w="6803" w:type="dxa"/>
            <w:shd w:val="clear" w:color="auto" w:fill="DEEBF6" w:themeFill="accent1" w:themeFillTint="32"/>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报告以电子版形式发布，电子版查询及下载地址：泰安沪农商村镇银行门户网站（http://taia.srcbcz.com）“信息公开” —“社会责任”—“社会责任实践”栏目下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268"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联系方式</w:t>
            </w:r>
          </w:p>
        </w:tc>
        <w:tc>
          <w:tcPr>
            <w:tcW w:w="6803" w:type="dxa"/>
            <w:vAlign w:val="center"/>
          </w:tcPr>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部门姓名：综合管理部</w:t>
            </w:r>
          </w:p>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地址：泰安市岱岳区长城路中段名仕尚座A8</w:t>
            </w:r>
          </w:p>
          <w:p>
            <w:pPr>
              <w:keepNext w:val="0"/>
              <w:keepLines w:val="0"/>
              <w:pageBreakBefore w:val="0"/>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电话：0538-8067677</w:t>
            </w:r>
          </w:p>
        </w:tc>
      </w:tr>
    </w:tbl>
    <w:p>
      <w:pPr>
        <w:keepNext w:val="0"/>
        <w:keepLines w:val="0"/>
        <w:pageBreakBefore w:val="0"/>
        <w:kinsoku/>
        <w:wordWrap/>
        <w:overflowPunct/>
        <w:topLinePunct w:val="0"/>
        <w:autoSpaceDE/>
        <w:autoSpaceDN/>
        <w:bidi w:val="0"/>
        <w:snapToGrid/>
        <w:spacing w:line="600" w:lineRule="exact"/>
        <w:textAlignment w:val="auto"/>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公司简介</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泰安沪农商村镇银行股份有限公司(中文简称：泰安沪农商村镇银行，英文名称：Taian SRCB Rural Bank)是经中国银行业监督管理委员会批准，由上海农村商业银行股份有限公司控股81.46%，泰安市泰山城市建设投资有限公司、山东岱银纺织集团股份有限公司等10家法人企业及10位自然人参股成立的新型股份制商业银行，注册资本人民币壹亿叁仟贰佰壹拾陆万伍仟捌佰元整。</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主营范围：吸收公众存款；发放短期、中期和长期贷款；办理国内结算；办理票据承兑与贴现；从事同业拆借；从事银行卡业务；代理发行、代理兑付、承销政府债券；代理收付款项及代理保险业务；经银行业监督管理机构批准的其他业务。</w:t>
      </w:r>
    </w:p>
    <w:p>
      <w:pPr>
        <w:keepNext w:val="0"/>
        <w:keepLines w:val="0"/>
        <w:pageBreakBefore w:val="0"/>
        <w:kinsoku/>
        <w:wordWrap/>
        <w:overflowPunct/>
        <w:topLinePunct w:val="0"/>
        <w:autoSpaceDE/>
        <w:autoSpaceDN/>
        <w:bidi w:val="0"/>
        <w:snapToGrid/>
        <w:spacing w:line="600" w:lineRule="exact"/>
        <w:ind w:firstLine="560" w:firstLineChars="200"/>
        <w:jc w:val="left"/>
        <w:textAlignment w:val="auto"/>
        <w:rPr>
          <w:rFonts w:hint="default"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未尽内容，参见《泰安沪农商村镇银行2024年度信息披露报告》。</w:t>
      </w:r>
    </w:p>
    <w:p>
      <w:pPr>
        <w:pStyle w:val="2"/>
        <w:rPr>
          <w:rFonts w:hint="default"/>
          <w:lang w:val="en-US" w:eastAsia="zh-CN"/>
        </w:rPr>
      </w:pP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ind w:left="0" w:leftChars="0" w:firstLine="0" w:firstLineChars="0"/>
        <w:rPr>
          <w:rFonts w:hint="eastAsia" w:ascii="仿宋" w:hAnsi="仿宋" w:eastAsia="仿宋" w:cs="仿宋"/>
          <w:b/>
          <w:bCs/>
          <w:sz w:val="28"/>
          <w:szCs w:val="28"/>
          <w:lang w:val="en-US" w:eastAsia="zh-CN"/>
        </w:rPr>
      </w:pP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社会责任关键绩效</w:t>
      </w:r>
    </w:p>
    <w:tbl>
      <w:tblPr>
        <w:tblStyle w:val="10"/>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1134"/>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指标</w:t>
            </w:r>
          </w:p>
        </w:tc>
        <w:tc>
          <w:tcPr>
            <w:tcW w:w="113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单位</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2024年</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2023年</w:t>
            </w:r>
          </w:p>
        </w:tc>
        <w:tc>
          <w:tcPr>
            <w:tcW w:w="1701"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bCs/>
                <w:sz w:val="28"/>
                <w:szCs w:val="28"/>
                <w:vertAlign w:val="baseline"/>
                <w:lang w:val="en-US" w:eastAsia="zh-CN"/>
              </w:rPr>
              <w:t>经济责任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资产总额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sz w:val="24"/>
                <w:highlight w:val="none"/>
              </w:rPr>
              <w:t>36125.57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sz w:val="24"/>
              </w:rPr>
              <w:t>42,127.07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sz w:val="24"/>
              </w:rPr>
              <w:t>33,582.91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存款余额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33,123.38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sz w:val="24"/>
              </w:rPr>
              <w:t>38,570.89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sz w:val="24"/>
              </w:rPr>
              <w:t>28,911.48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26006.01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sz w:val="24"/>
              </w:rPr>
              <w:t>22,485.49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sz w:val="24"/>
              </w:rPr>
              <w:t>24,669.82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营业收入</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1835.49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1811.88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1844.85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员工薪酬</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693.87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729.64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653.28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利息支出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1021.03</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1042.69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829.62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纳税总额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37.37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61.17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61.96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净利润</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-613.22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-564.72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509.90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资产收益率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-1.57</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-1.49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净资产收益率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-40.6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-26.9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核心资产充足率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6.64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10.26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资本充足率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10.78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11.38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不良贷款率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3.01</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3.4</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拨备覆盖率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193.98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174.99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245.05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涉农贷款余额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17734.46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13864.32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14422.38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小微企业贷款余额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kern w:val="2"/>
                <w:sz w:val="24"/>
                <w:szCs w:val="24"/>
                <w:vertAlign w:val="baseline"/>
                <w:lang w:val="en-US" w:eastAsia="zh-CN" w:bidi="ar-SA"/>
              </w:rPr>
              <w:t>16802.48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13523.59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13900.7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bCs/>
                <w:sz w:val="28"/>
                <w:szCs w:val="28"/>
                <w:vertAlign w:val="baseline"/>
                <w:lang w:val="en-US" w:eastAsia="zh-CN"/>
              </w:rPr>
              <w:t>社会责任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tabs>
                <w:tab w:val="left" w:pos="1890"/>
              </w:tabs>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消费者权益保护费支出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0</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员工总数</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人</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sz w:val="24"/>
                <w:szCs w:val="24"/>
                <w:vertAlign w:val="baseline"/>
                <w:lang w:val="en-US" w:eastAsia="zh-CN"/>
              </w:rPr>
              <w:t>36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39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女性员工占比</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sz w:val="24"/>
                <w:szCs w:val="24"/>
                <w:vertAlign w:val="baseline"/>
                <w:lang w:val="en-US" w:eastAsia="zh-CN"/>
              </w:rPr>
              <w:t>56</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59</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员工流失率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default" w:ascii="仿宋" w:hAnsi="仿宋" w:eastAsia="仿宋" w:cs="仿宋"/>
                <w:b w:val="0"/>
                <w:bCs w:val="0"/>
                <w:sz w:val="24"/>
                <w:szCs w:val="24"/>
                <w:vertAlign w:val="baseline"/>
                <w:lang w:val="en-US" w:eastAsia="zh-CN"/>
              </w:rPr>
              <w:t>12</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18</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72" w:type="dxa"/>
            <w:gridSpan w:val="5"/>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bCs/>
                <w:sz w:val="28"/>
                <w:szCs w:val="28"/>
                <w:vertAlign w:val="baseline"/>
                <w:lang w:val="en-US" w:eastAsia="zh-CN"/>
              </w:rPr>
              <w:t>环境责任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人均办公耗电</w:t>
            </w:r>
          </w:p>
        </w:tc>
        <w:tc>
          <w:tcPr>
            <w:tcW w:w="1134"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度</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1900.97</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1765.46</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2254.81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人均办公耗水</w:t>
            </w:r>
          </w:p>
        </w:tc>
        <w:tc>
          <w:tcPr>
            <w:tcW w:w="1134"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吨</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10.46</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10.56</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人均办公用纸</w:t>
            </w:r>
          </w:p>
        </w:tc>
        <w:tc>
          <w:tcPr>
            <w:tcW w:w="1134"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万张</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0.58</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0.65</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人均公务车油耗</w:t>
            </w:r>
          </w:p>
        </w:tc>
        <w:tc>
          <w:tcPr>
            <w:tcW w:w="1134"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升</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192.68</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180.97</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101.35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视频会议覆盖率</w:t>
            </w:r>
          </w:p>
        </w:tc>
        <w:tc>
          <w:tcPr>
            <w:tcW w:w="1134"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87</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85</w:t>
            </w:r>
          </w:p>
        </w:tc>
        <w:tc>
          <w:tcPr>
            <w:tcW w:w="1701" w:type="dxa"/>
            <w:shd w:val="clear" w:color="auto" w:fill="auto"/>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80</w:t>
            </w:r>
          </w:p>
        </w:tc>
      </w:tr>
    </w:tbl>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第二节 社会责任理念</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社会责任核心理念与目标</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泰安沪农商村镇银行致力于建立优良的社会责任观，将社会责任融入经营管理实践，建设有效的利益相关责任方参与机制，主动承担经济、社会、环境责任，促进自身利益和利益相关方的共同可持续发展。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泰安沪农商村镇银行充分发挥地域优势，因地制宜、精准施策，下沉服务重心至乡镇乡村，持续输血，攻坚乡村振兴“最后一公里”；强化支农支小战略定力，将主发起行国企资源与村行地处一线两大优势相结合，把更多金融资源配置到农村重点领域和薄弱环节，与主发起行上下联动，共同践行普惠金融的使命，让乡村振兴成果惠及更多农民群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泰安沪农商村镇银行努力提升服务质量、保障金融消费者权益；关爱员工发展，积极投身公益慈善，弘扬志愿精神；实施绿色信贷，拓宽绿色金融服务渠道，履行环境友好责任，推进多方面积极影响。</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社会责任领域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2"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金融普惠</w:t>
      </w:r>
      <w:r>
        <w:rPr>
          <w:rFonts w:hint="eastAsia" w:ascii="仿宋" w:hAnsi="仿宋" w:eastAsia="仿宋" w:cs="仿宋"/>
          <w:b w:val="0"/>
          <w:bCs w:val="0"/>
          <w:sz w:val="28"/>
          <w:szCs w:val="28"/>
          <w:lang w:val="en-US" w:eastAsia="zh-CN"/>
        </w:rPr>
        <w:t>：发挥银行特色和优势，倾心服务村居、小微、“三农”客户，扶持新兴农业主体企业发展。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2"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优质服务：</w:t>
      </w:r>
      <w:r>
        <w:rPr>
          <w:rFonts w:hint="eastAsia" w:ascii="仿宋" w:hAnsi="仿宋" w:eastAsia="仿宋" w:cs="仿宋"/>
          <w:b w:val="0"/>
          <w:bCs w:val="0"/>
          <w:sz w:val="28"/>
          <w:szCs w:val="28"/>
          <w:lang w:val="en-US" w:eastAsia="zh-CN"/>
        </w:rPr>
        <w:t>提高服务质量和营运效率，优化服务流程，保证客户金融安全，提升客户服务体验。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2"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金融创新：</w:t>
      </w:r>
      <w:r>
        <w:rPr>
          <w:rFonts w:hint="eastAsia" w:ascii="仿宋" w:hAnsi="仿宋" w:eastAsia="仿宋" w:cs="仿宋"/>
          <w:b w:val="0"/>
          <w:bCs w:val="0"/>
          <w:sz w:val="28"/>
          <w:szCs w:val="28"/>
          <w:lang w:val="en-US" w:eastAsia="zh-CN"/>
        </w:rPr>
        <w:t>以客户需求为导向，坚持合规原则，加强产品和服务模式创新与优化，实现个人财富增长、企业价值提升。</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pStyle w:val="2"/>
        <w:rPr>
          <w:rFonts w:hint="eastAsia" w:ascii="仿宋" w:hAnsi="仿宋" w:eastAsia="仿宋" w:cs="仿宋"/>
          <w:b w:val="0"/>
          <w:bCs w:val="0"/>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2" w:firstLineChars="200"/>
        <w:jc w:val="left"/>
        <w:textAlignment w:val="auto"/>
        <w:rPr>
          <w:rFonts w:hint="eastAsia" w:ascii="仿宋" w:hAnsi="仿宋" w:eastAsia="仿宋" w:cs="仿宋"/>
          <w:b/>
          <w:bCs/>
          <w:sz w:val="28"/>
          <w:szCs w:val="28"/>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泰安</w:t>
      </w:r>
      <w:r>
        <w:rPr>
          <w:rFonts w:hint="eastAsia" w:ascii="仿宋" w:hAnsi="仿宋" w:eastAsia="仿宋" w:cs="仿宋"/>
          <w:b w:val="0"/>
          <w:bCs w:val="0"/>
          <w:sz w:val="28"/>
          <w:szCs w:val="28"/>
          <w:lang w:eastAsia="zh-CN"/>
        </w:rPr>
        <w:t>沪农商村镇银行</w:t>
      </w:r>
      <w:r>
        <w:rPr>
          <w:rFonts w:hint="eastAsia" w:ascii="仿宋" w:hAnsi="仿宋" w:eastAsia="仿宋" w:cs="仿宋"/>
          <w:b w:val="0"/>
          <w:bCs w:val="0"/>
          <w:sz w:val="28"/>
          <w:szCs w:val="28"/>
        </w:rPr>
        <w:t>微小</w:t>
      </w:r>
      <w:r>
        <w:rPr>
          <w:rFonts w:hint="eastAsia" w:ascii="仿宋" w:hAnsi="仿宋" w:eastAsia="仿宋" w:cs="仿宋"/>
          <w:b w:val="0"/>
          <w:bCs w:val="0"/>
          <w:sz w:val="28"/>
          <w:szCs w:val="28"/>
          <w:lang w:val="en-US" w:eastAsia="zh-CN"/>
        </w:rPr>
        <w:t>团</w:t>
      </w:r>
      <w:r>
        <w:rPr>
          <w:rFonts w:hint="eastAsia" w:ascii="仿宋" w:hAnsi="仿宋" w:eastAsia="仿宋" w:cs="仿宋"/>
          <w:b w:val="0"/>
          <w:bCs w:val="0"/>
          <w:sz w:val="28"/>
          <w:szCs w:val="28"/>
        </w:rPr>
        <w:t>队</w:t>
      </w:r>
      <w:r>
        <w:rPr>
          <w:rFonts w:hint="eastAsia" w:ascii="仿宋" w:hAnsi="仿宋" w:eastAsia="仿宋" w:cs="仿宋"/>
          <w:b w:val="0"/>
          <w:bCs w:val="0"/>
          <w:sz w:val="28"/>
          <w:szCs w:val="28"/>
          <w:lang w:val="en-US" w:eastAsia="zh-CN"/>
        </w:rPr>
        <w:t>以</w:t>
      </w:r>
      <w:r>
        <w:rPr>
          <w:rFonts w:hint="eastAsia" w:ascii="仿宋" w:hAnsi="仿宋" w:eastAsia="仿宋" w:cs="仿宋"/>
          <w:b w:val="0"/>
          <w:bCs w:val="0"/>
          <w:sz w:val="28"/>
          <w:szCs w:val="28"/>
        </w:rPr>
        <w:t>“</w:t>
      </w:r>
      <w:r>
        <w:rPr>
          <w:rFonts w:hint="eastAsia" w:ascii="仿宋" w:hAnsi="仿宋" w:eastAsia="仿宋" w:cs="仿宋"/>
          <w:b w:val="0"/>
          <w:bCs w:val="0"/>
          <w:sz w:val="28"/>
          <w:szCs w:val="28"/>
          <w:lang w:val="en-US" w:eastAsia="zh-CN"/>
        </w:rPr>
        <w:t>普惠金融</w:t>
      </w:r>
      <w:r>
        <w:rPr>
          <w:rFonts w:hint="eastAsia" w:ascii="仿宋" w:hAnsi="仿宋" w:eastAsia="仿宋" w:cs="仿宋"/>
          <w:b w:val="0"/>
          <w:bCs w:val="0"/>
          <w:sz w:val="28"/>
          <w:szCs w:val="28"/>
        </w:rPr>
        <w:t>助力百姓美好生活”</w:t>
      </w:r>
      <w:r>
        <w:rPr>
          <w:rFonts w:hint="eastAsia" w:ascii="仿宋" w:hAnsi="仿宋" w:eastAsia="仿宋" w:cs="仿宋"/>
          <w:b w:val="0"/>
          <w:bCs w:val="0"/>
          <w:sz w:val="28"/>
          <w:szCs w:val="28"/>
          <w:lang w:val="en-US" w:eastAsia="zh-CN"/>
        </w:rPr>
        <w:t>为使命，</w:t>
      </w:r>
      <w:r>
        <w:rPr>
          <w:rFonts w:hint="eastAsia" w:ascii="仿宋" w:hAnsi="仿宋" w:eastAsia="仿宋" w:cs="仿宋"/>
          <w:b w:val="0"/>
          <w:bCs w:val="0"/>
          <w:sz w:val="28"/>
          <w:szCs w:val="28"/>
        </w:rPr>
        <w:t>秉承“</w:t>
      </w:r>
      <w:r>
        <w:rPr>
          <w:rFonts w:hint="eastAsia" w:ascii="仿宋" w:hAnsi="仿宋" w:eastAsia="仿宋" w:cs="仿宋"/>
          <w:b w:val="0"/>
          <w:bCs w:val="0"/>
          <w:sz w:val="28"/>
          <w:szCs w:val="28"/>
          <w:lang w:val="en-US" w:eastAsia="zh-CN"/>
        </w:rPr>
        <w:t>支农支小</w:t>
      </w:r>
      <w:r>
        <w:rPr>
          <w:rFonts w:hint="eastAsia" w:ascii="仿宋" w:hAnsi="仿宋" w:eastAsia="仿宋" w:cs="仿宋"/>
          <w:b w:val="0"/>
          <w:bCs w:val="0"/>
          <w:sz w:val="28"/>
          <w:szCs w:val="28"/>
        </w:rPr>
        <w:t>”的市场定位,弘扬奋斗者文化,</w:t>
      </w:r>
      <w:r>
        <w:rPr>
          <w:rFonts w:hint="eastAsia" w:ascii="仿宋" w:hAnsi="仿宋" w:eastAsia="仿宋" w:cs="仿宋"/>
          <w:b w:val="0"/>
          <w:bCs w:val="0"/>
          <w:sz w:val="28"/>
          <w:szCs w:val="28"/>
          <w:lang w:val="en-US" w:eastAsia="zh-CN"/>
        </w:rPr>
        <w:t>坚持以客户为中心、努力提升</w:t>
      </w:r>
      <w:r>
        <w:rPr>
          <w:rFonts w:hint="eastAsia" w:ascii="仿宋" w:hAnsi="仿宋" w:eastAsia="仿宋" w:cs="仿宋"/>
          <w:b w:val="0"/>
          <w:bCs w:val="0"/>
          <w:sz w:val="28"/>
          <w:szCs w:val="28"/>
        </w:rPr>
        <w:t>客户满意</w:t>
      </w:r>
      <w:r>
        <w:rPr>
          <w:rFonts w:hint="eastAsia" w:ascii="仿宋" w:hAnsi="仿宋" w:eastAsia="仿宋" w:cs="仿宋"/>
          <w:b w:val="0"/>
          <w:bCs w:val="0"/>
          <w:sz w:val="28"/>
          <w:szCs w:val="28"/>
          <w:lang w:val="en-US" w:eastAsia="zh-CN"/>
        </w:rPr>
        <w:t>度</w:t>
      </w:r>
      <w:r>
        <w:rPr>
          <w:rFonts w:hint="eastAsia" w:ascii="仿宋" w:hAnsi="仿宋" w:eastAsia="仿宋" w:cs="仿宋"/>
          <w:b w:val="0"/>
          <w:bCs w:val="0"/>
          <w:sz w:val="28"/>
          <w:szCs w:val="28"/>
        </w:rPr>
        <w:t>。</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该行</w:t>
      </w:r>
      <w:r>
        <w:rPr>
          <w:rFonts w:hint="eastAsia" w:ascii="仿宋" w:hAnsi="仿宋" w:eastAsia="仿宋" w:cs="仿宋"/>
          <w:b w:val="0"/>
          <w:bCs w:val="0"/>
          <w:sz w:val="28"/>
          <w:szCs w:val="28"/>
          <w:lang w:eastAsia="zh-CN"/>
        </w:rPr>
        <w:t>微小团队</w:t>
      </w:r>
      <w:r>
        <w:rPr>
          <w:rFonts w:hint="eastAsia" w:ascii="仿宋" w:hAnsi="仿宋" w:eastAsia="仿宋" w:cs="仿宋"/>
          <w:b w:val="0"/>
          <w:bCs w:val="0"/>
          <w:sz w:val="28"/>
          <w:szCs w:val="28"/>
          <w:lang w:val="en-US" w:eastAsia="zh-CN"/>
        </w:rPr>
        <w:t>为</w:t>
      </w:r>
      <w:r>
        <w:rPr>
          <w:rFonts w:hint="eastAsia" w:ascii="仿宋" w:hAnsi="仿宋" w:eastAsia="仿宋" w:cs="仿宋"/>
          <w:b w:val="0"/>
          <w:bCs w:val="0"/>
          <w:sz w:val="28"/>
          <w:szCs w:val="28"/>
          <w:lang w:eastAsia="zh-CN"/>
        </w:rPr>
        <w:t>融</w:t>
      </w:r>
      <w:r>
        <w:rPr>
          <w:rFonts w:hint="eastAsia" w:ascii="仿宋" w:hAnsi="仿宋" w:eastAsia="仿宋" w:cs="仿宋"/>
          <w:b w:val="0"/>
          <w:bCs w:val="0"/>
          <w:sz w:val="28"/>
          <w:szCs w:val="28"/>
          <w:lang w:val="en-US" w:eastAsia="zh-CN"/>
        </w:rPr>
        <w:t>入</w:t>
      </w:r>
      <w:r>
        <w:rPr>
          <w:rFonts w:hint="eastAsia" w:ascii="仿宋" w:hAnsi="仿宋" w:eastAsia="仿宋" w:cs="仿宋"/>
          <w:b w:val="0"/>
          <w:bCs w:val="0"/>
          <w:sz w:val="28"/>
          <w:szCs w:val="28"/>
          <w:lang w:eastAsia="zh-CN"/>
        </w:rPr>
        <w:t>当地经济发展,始终牢固树立“支农”“支小”服务“三农”的市场定位，做到不脱农、多惠农，扎根周边社区乡镇，深入下沉到农村市场，以服务“三农”为己任，加大对涉农贷款的投放力度，满足三农客户多样化的金融服务需求，有效的填补了农村地区金融服务的空白，增加了农村地区的金融支持力度，也为</w:t>
      </w:r>
      <w:r>
        <w:rPr>
          <w:rFonts w:hint="eastAsia" w:ascii="仿宋" w:hAnsi="仿宋" w:eastAsia="仿宋" w:cs="仿宋"/>
          <w:b w:val="0"/>
          <w:bCs w:val="0"/>
          <w:sz w:val="28"/>
          <w:szCs w:val="28"/>
          <w:lang w:val="en-US" w:eastAsia="zh-CN"/>
        </w:rPr>
        <w:t>村镇银行</w:t>
      </w:r>
      <w:r>
        <w:rPr>
          <w:rFonts w:hint="eastAsia" w:ascii="仿宋" w:hAnsi="仿宋" w:eastAsia="仿宋" w:cs="仿宋"/>
          <w:b w:val="0"/>
          <w:bCs w:val="0"/>
          <w:sz w:val="28"/>
          <w:szCs w:val="28"/>
          <w:lang w:eastAsia="zh-CN"/>
        </w:rPr>
        <w:t>业务发展找到可持续发展</w:t>
      </w:r>
      <w:r>
        <w:rPr>
          <w:rFonts w:hint="eastAsia" w:ascii="仿宋" w:hAnsi="仿宋" w:eastAsia="仿宋" w:cs="仿宋"/>
          <w:b w:val="0"/>
          <w:bCs w:val="0"/>
          <w:sz w:val="28"/>
          <w:szCs w:val="28"/>
          <w:lang w:val="en-US" w:eastAsia="zh-CN"/>
        </w:rPr>
        <w:t>发力</w:t>
      </w:r>
      <w:r>
        <w:rPr>
          <w:rFonts w:hint="eastAsia" w:ascii="仿宋" w:hAnsi="仿宋" w:eastAsia="仿宋" w:cs="仿宋"/>
          <w:b w:val="0"/>
          <w:bCs w:val="0"/>
          <w:sz w:val="28"/>
          <w:szCs w:val="28"/>
          <w:lang w:eastAsia="zh-CN"/>
        </w:rPr>
        <w:t>点,为</w:t>
      </w:r>
      <w:r>
        <w:rPr>
          <w:rFonts w:hint="eastAsia" w:ascii="仿宋" w:hAnsi="仿宋" w:eastAsia="仿宋" w:cs="仿宋"/>
          <w:b w:val="0"/>
          <w:bCs w:val="0"/>
          <w:sz w:val="28"/>
          <w:szCs w:val="28"/>
          <w:lang w:val="en-US" w:eastAsia="zh-CN"/>
        </w:rPr>
        <w:t>带动传统特色产业、</w:t>
      </w:r>
      <w:r>
        <w:rPr>
          <w:rFonts w:hint="eastAsia" w:ascii="仿宋" w:hAnsi="仿宋" w:eastAsia="仿宋" w:cs="仿宋"/>
          <w:b w:val="0"/>
          <w:bCs w:val="0"/>
          <w:sz w:val="28"/>
          <w:szCs w:val="28"/>
          <w:lang w:eastAsia="zh-CN"/>
        </w:rPr>
        <w:t>履行社会责任作出积极贡献。</w:t>
      </w:r>
    </w:p>
    <w:p>
      <w:pPr>
        <w:pStyle w:val="2"/>
        <w:ind w:firstLine="0" w:firstLineChars="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drawing>
          <wp:inline distT="0" distB="0" distL="114300" distR="114300">
            <wp:extent cx="4801870" cy="3903345"/>
            <wp:effectExtent l="0" t="0" r="13970" b="13335"/>
            <wp:docPr id="11" name="图片 11" descr="c3f091ccaa6a3b3fa5f2c124370ea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3f091ccaa6a3b3fa5f2c124370ea418"/>
                    <pic:cNvPicPr>
                      <a:picLocks noChangeAspect="1"/>
                    </pic:cNvPicPr>
                  </pic:nvPicPr>
                  <pic:blipFill>
                    <a:blip r:embed="rId5"/>
                    <a:srcRect r="25897" b="-521"/>
                    <a:stretch>
                      <a:fillRect/>
                    </a:stretch>
                  </pic:blipFill>
                  <pic:spPr>
                    <a:xfrm>
                      <a:off x="0" y="0"/>
                      <a:ext cx="4801870" cy="3903345"/>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泰安</w:t>
      </w:r>
      <w:r>
        <w:rPr>
          <w:rFonts w:hint="eastAsia" w:ascii="仿宋" w:hAnsi="仿宋" w:eastAsia="仿宋" w:cs="仿宋"/>
          <w:sz w:val="28"/>
          <w:szCs w:val="28"/>
          <w:lang w:val="en-US" w:eastAsia="zh-CN"/>
        </w:rPr>
        <w:t>沪农商村镇银行</w:t>
      </w:r>
      <w:r>
        <w:rPr>
          <w:rFonts w:hint="eastAsia" w:ascii="仿宋" w:hAnsi="仿宋" w:eastAsia="仿宋" w:cs="仿宋"/>
          <w:sz w:val="28"/>
          <w:szCs w:val="28"/>
          <w:lang w:eastAsia="zh-CN"/>
        </w:rPr>
        <w:t>为</w:t>
      </w:r>
      <w:r>
        <w:rPr>
          <w:rFonts w:hint="eastAsia" w:ascii="仿宋" w:hAnsi="仿宋" w:eastAsia="仿宋" w:cs="仿宋"/>
          <w:sz w:val="28"/>
          <w:szCs w:val="28"/>
        </w:rPr>
        <w:t>有效解决服务半径较短的问题，</w:t>
      </w:r>
      <w:r>
        <w:rPr>
          <w:rFonts w:hint="eastAsia" w:ascii="仿宋" w:hAnsi="仿宋" w:eastAsia="仿宋" w:cs="仿宋"/>
          <w:sz w:val="28"/>
          <w:szCs w:val="28"/>
          <w:lang w:eastAsia="zh-CN"/>
        </w:rPr>
        <w:t>延伸金融服务触角，</w:t>
      </w:r>
      <w:r>
        <w:rPr>
          <w:rFonts w:hint="eastAsia" w:ascii="仿宋" w:hAnsi="仿宋" w:eastAsia="仿宋" w:cs="仿宋"/>
          <w:sz w:val="28"/>
          <w:szCs w:val="28"/>
          <w:lang w:val="en-US" w:eastAsia="zh-CN"/>
        </w:rPr>
        <w:t>员工携带便捷式移动终端开展外拓业务，推广便民、惠民、利民服务，为群众做实事。为进一步提升服务质量，提高客户满意度，该行上线移动pad可支持现场开卡，对于贷款业务也可做到上门扫码授信，较大程度减少客户往返银行次数。</w:t>
      </w:r>
    </w:p>
    <w:p>
      <w:pPr>
        <w:pStyle w:val="2"/>
        <w:ind w:left="0" w:leftChars="0" w:firstLine="0" w:firstLineChars="0"/>
        <w:rPr>
          <w:rFonts w:hint="default" w:ascii="仿宋" w:hAnsi="仿宋" w:eastAsia="仿宋" w:cs="仿宋"/>
          <w:b w:val="0"/>
          <w:bCs w:val="0"/>
          <w:kern w:val="2"/>
          <w:sz w:val="28"/>
          <w:szCs w:val="28"/>
          <w:lang w:val="en-US" w:eastAsia="zh-CN" w:bidi="ar-SA"/>
        </w:rPr>
      </w:pPr>
      <w:r>
        <w:rPr>
          <w:rFonts w:hint="eastAsia"/>
          <w:lang w:val="en-US" w:eastAsia="zh-CN"/>
        </w:rPr>
        <w:drawing>
          <wp:inline distT="0" distB="0" distL="114300" distR="114300">
            <wp:extent cx="5665470" cy="3187065"/>
            <wp:effectExtent l="0" t="0" r="3810" b="13335"/>
            <wp:docPr id="9" name="图片 9" descr="_cgi-bin_mmwebwx-bin_webwxgetmsgimg__&amp;MsgID=4972494655415829830&amp;skey=@crypt_5e420405_895e1908831621297fc3dc5cc7ceedd7&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_cgi-bin_mmwebwx-bin_webwxgetmsgimg__&amp;MsgID=4972494655415829830&amp;skey=@crypt_5e420405_895e1908831621297fc3dc5cc7ceedd7&amp;mmweb_appid=wx_webfilehelper"/>
                    <pic:cNvPicPr>
                      <a:picLocks noChangeAspect="1"/>
                    </pic:cNvPicPr>
                  </pic:nvPicPr>
                  <pic:blipFill>
                    <a:blip r:embed="rId6"/>
                    <a:stretch>
                      <a:fillRect/>
                    </a:stretch>
                  </pic:blipFill>
                  <pic:spPr>
                    <a:xfrm>
                      <a:off x="0" y="0"/>
                      <a:ext cx="5665470" cy="318706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rPr>
          <w:rFonts w:hint="default" w:ascii="仿宋" w:hAnsi="仿宋" w:eastAsia="仿宋" w:cs="仿宋"/>
          <w:b w:val="0"/>
          <w:bCs w:val="0"/>
          <w:kern w:val="2"/>
          <w:sz w:val="28"/>
          <w:szCs w:val="28"/>
          <w:lang w:val="en-US" w:eastAsia="zh-CN" w:bidi="ar-SA"/>
        </w:rPr>
      </w:pPr>
      <w:r>
        <w:rPr>
          <w:rFonts w:hint="default" w:ascii="仿宋" w:hAnsi="仿宋" w:eastAsia="仿宋" w:cs="仿宋"/>
          <w:b w:val="0"/>
          <w:bCs w:val="0"/>
          <w:kern w:val="2"/>
          <w:sz w:val="28"/>
          <w:szCs w:val="28"/>
          <w:lang w:val="en-US" w:eastAsia="zh-CN" w:bidi="ar-SA"/>
        </w:rPr>
        <w:t>为满足涉农客户特色金融服务，该行上线了以“惠兴贷”“惠福贷”“惠企贷”以及以整村授信方式开展的“惠民贷”村居业务，同时借助具有互联网、大数据风控模型等信息技术手段的“民兴快贷”，通过优化业务审批流程，提高信贷投放效率，确保三农客户群体资金需求的及时性及便利性。</w:t>
      </w:r>
    </w:p>
    <w:p>
      <w:pPr>
        <w:pStyle w:val="2"/>
        <w:ind w:left="0" w:leftChars="0" w:firstLine="0" w:firstLineChars="0"/>
        <w:rPr>
          <w:rFonts w:hint="default" w:ascii="仿宋" w:hAnsi="仿宋" w:eastAsia="仿宋" w:cs="仿宋"/>
          <w:b w:val="0"/>
          <w:bCs w:val="0"/>
          <w:kern w:val="2"/>
          <w:sz w:val="28"/>
          <w:szCs w:val="28"/>
          <w:lang w:val="en-US" w:eastAsia="zh-CN" w:bidi="ar-SA"/>
        </w:rPr>
      </w:pPr>
      <w:r>
        <w:rPr>
          <w:rFonts w:hint="default" w:ascii="仿宋" w:hAnsi="仿宋" w:eastAsia="仿宋" w:cs="仿宋"/>
          <w:b w:val="0"/>
          <w:bCs w:val="0"/>
          <w:kern w:val="2"/>
          <w:sz w:val="28"/>
          <w:szCs w:val="28"/>
          <w:lang w:val="en-US" w:eastAsia="zh-CN" w:bidi="ar-SA"/>
        </w:rPr>
        <w:drawing>
          <wp:inline distT="0" distB="0" distL="114300" distR="114300">
            <wp:extent cx="5657215" cy="3183255"/>
            <wp:effectExtent l="0" t="0" r="12065" b="1905"/>
            <wp:docPr id="10" name="图片 10" descr="微信图片_2024123114315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1231143151 - 副本"/>
                    <pic:cNvPicPr>
                      <a:picLocks noChangeAspect="1"/>
                    </pic:cNvPicPr>
                  </pic:nvPicPr>
                  <pic:blipFill>
                    <a:blip r:embed="rId7"/>
                    <a:stretch>
                      <a:fillRect/>
                    </a:stretch>
                  </pic:blipFill>
                  <pic:spPr>
                    <a:xfrm>
                      <a:off x="0" y="0"/>
                      <a:ext cx="5657215" cy="3183255"/>
                    </a:xfrm>
                    <a:prstGeom prst="rect">
                      <a:avLst/>
                    </a:prstGeom>
                  </pic:spPr>
                </pic:pic>
              </a:graphicData>
            </a:graphic>
          </wp:inline>
        </w:drawing>
      </w:r>
    </w:p>
    <w:p>
      <w:pPr>
        <w:pStyle w:val="2"/>
        <w:ind w:left="0" w:leftChars="0" w:firstLine="0" w:firstLineChars="0"/>
        <w:rPr>
          <w:rFonts w:hint="default" w:ascii="仿宋" w:hAnsi="仿宋" w:eastAsia="仿宋" w:cs="仿宋"/>
          <w:b w:val="0"/>
          <w:bCs w:val="0"/>
          <w:kern w:val="2"/>
          <w:sz w:val="28"/>
          <w:szCs w:val="28"/>
          <w:lang w:val="en-US" w:eastAsia="zh-CN" w:bidi="ar-SA"/>
        </w:rPr>
      </w:pPr>
    </w:p>
    <w:p>
      <w:pPr>
        <w:pStyle w:val="2"/>
        <w:ind w:left="0" w:leftChars="0" w:firstLine="0" w:firstLineChars="0"/>
        <w:rPr>
          <w:rFonts w:hint="default"/>
          <w:lang w:val="en-US" w:eastAsia="zh-CN"/>
        </w:rPr>
      </w:pPr>
    </w:p>
    <w:p>
      <w:pPr>
        <w:pStyle w:val="2"/>
        <w:ind w:left="0" w:leftChars="0" w:firstLine="0" w:firstLineChars="0"/>
        <w:rPr>
          <w:rFonts w:hint="default"/>
          <w:lang w:val="en-US" w:eastAsia="zh-CN"/>
        </w:rPr>
      </w:pPr>
    </w:p>
    <w:p>
      <w:pPr>
        <w:pStyle w:val="2"/>
        <w:ind w:left="0" w:leftChars="0" w:firstLine="0" w:firstLineChars="0"/>
        <w:rPr>
          <w:rFonts w:hint="default"/>
          <w:lang w:val="en-US" w:eastAsia="zh-CN"/>
        </w:rPr>
      </w:pPr>
    </w:p>
    <w:p>
      <w:pPr>
        <w:rPr>
          <w:rFonts w:hint="eastAsia"/>
          <w:lang w:val="en-US" w:eastAsia="zh-CN"/>
        </w:rPr>
      </w:pPr>
      <w:r>
        <w:rPr>
          <w:rFonts w:hint="eastAsia"/>
          <w:lang w:val="en-US" w:eastAsia="zh-CN"/>
        </w:rPr>
        <w:drawing>
          <wp:inline distT="0" distB="0" distL="114300" distR="114300">
            <wp:extent cx="5243830" cy="3910965"/>
            <wp:effectExtent l="0" t="0" r="13970" b="5715"/>
            <wp:docPr id="5" name="图片 5" descr="4231492418378055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231492418378055047(1)"/>
                    <pic:cNvPicPr>
                      <a:picLocks noChangeAspect="1"/>
                    </pic:cNvPicPr>
                  </pic:nvPicPr>
                  <pic:blipFill>
                    <a:blip r:embed="rId8"/>
                    <a:stretch>
                      <a:fillRect/>
                    </a:stretch>
                  </pic:blipFill>
                  <pic:spPr>
                    <a:xfrm>
                      <a:off x="0" y="0"/>
                      <a:ext cx="5243830" cy="3910965"/>
                    </a:xfrm>
                    <a:prstGeom prst="rect">
                      <a:avLst/>
                    </a:prstGeom>
                  </pic:spPr>
                </pic:pic>
              </a:graphicData>
            </a:graphic>
          </wp:inline>
        </w:drawing>
      </w:r>
      <w:r>
        <w:rPr>
          <w:rFonts w:hint="eastAsia"/>
          <w:lang w:val="en-US" w:eastAsia="zh-CN"/>
        </w:rPr>
        <w:br w:type="page"/>
      </w:r>
    </w:p>
    <w:p>
      <w:pPr>
        <w:keepNext w:val="0"/>
        <w:keepLines w:val="0"/>
        <w:pageBreakBefore w:val="0"/>
        <w:numPr>
          <w:ilvl w:val="0"/>
          <w:numId w:val="2"/>
        </w:numPr>
        <w:kinsoku/>
        <w:wordWrap/>
        <w:overflowPunct/>
        <w:topLinePunct w:val="0"/>
        <w:autoSpaceDE/>
        <w:autoSpaceDN/>
        <w:bidi w:val="0"/>
        <w:snapToGrid/>
        <w:spacing w:line="600" w:lineRule="exact"/>
        <w:jc w:val="lef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社会责任管理</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lang w:val="en-US"/>
        </w:rPr>
      </w:pPr>
      <w:r>
        <w:rPr>
          <w:rFonts w:hint="eastAsia" w:ascii="仿宋" w:hAnsi="仿宋" w:eastAsia="仿宋" w:cs="仿宋"/>
          <w:b/>
          <w:bCs/>
          <w:sz w:val="28"/>
          <w:szCs w:val="28"/>
          <w:lang w:val="en-US" w:eastAsia="zh-CN"/>
        </w:rPr>
        <w:t>党建引领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泰安沪农商村镇银行认真贯彻落实上级党组织及监管部门工作要求，着力构建党的领导和公司治理有机融合的制度框架，把党的领导融入公司治理各环节，将党建工作要求写入公司章程，健全公司党组织议事决策机制。同时，将党的二十大精神与当前党建面临的实际问题相结合，加强党建统一领导，注重基层组织建设，强化廉洁作风。</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泰安沪农商村镇银行通过党建引领，进一步将全行思想统一到公司可持续发展能力和支持实体经济上，树立良好的社会声誉和品牌形象。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2024年泰安沪农商村镇银行党支部强化党组织凝聚力，以习近平新时代中国特色社会主义思想为根本引领，将党的二十大精神贯彻到日常工作中，利用“三会一课”、主题党日活动、主题教育学习等方式开展学习活动，营造人人讲合规、人人争先进的良好工作氛围。该行党支部2024年共学习第一议题42次，开展党纪主题教育学习</w:t>
      </w:r>
      <w:r>
        <w:rPr>
          <w:rFonts w:hint="eastAsia" w:ascii="仿宋" w:hAnsi="仿宋" w:eastAsia="仿宋" w:cs="仿宋"/>
          <w:b w:val="0"/>
          <w:bCs w:val="0"/>
          <w:sz w:val="28"/>
          <w:szCs w:val="28"/>
          <w:highlight w:val="none"/>
          <w:lang w:val="en-US" w:eastAsia="zh-CN"/>
        </w:rPr>
        <w:t>10</w:t>
      </w:r>
      <w:r>
        <w:rPr>
          <w:rFonts w:hint="eastAsia" w:ascii="仿宋" w:hAnsi="仿宋" w:eastAsia="仿宋" w:cs="仿宋"/>
          <w:b w:val="0"/>
          <w:bCs w:val="0"/>
          <w:sz w:val="28"/>
          <w:szCs w:val="28"/>
          <w:lang w:val="en-US" w:eastAsia="zh-CN"/>
        </w:rPr>
        <w:t>次，主题党日活动12次，组织生活会1次，民主生活会2次，党员大会6次，“书记讲党课”4次，支委会26次，通过“三会一课”的落实，提升全体干部员工积极性与主动性。通过对二十大精神的贯彻学习，泰安沪农商村镇银行党支部整体呈现出鲜活有力量的精神面貌，树立了村镇银行良好的党建先锋形象。</w:t>
      </w:r>
    </w:p>
    <w:p>
      <w:pPr>
        <w:pStyle w:val="2"/>
        <w:rPr>
          <w:rFonts w:hint="eastAsia"/>
          <w:lang w:val="en-US" w:eastAsia="zh-CN"/>
        </w:rPr>
      </w:pPr>
    </w:p>
    <w:p>
      <w:pPr>
        <w:pStyle w:val="2"/>
        <w:ind w:left="0" w:leftChars="0" w:firstLine="0" w:firstLineChars="0"/>
        <w:rPr>
          <w:rFonts w:hint="default" w:ascii="仿宋" w:hAnsi="仿宋" w:eastAsia="仿宋" w:cs="仿宋"/>
          <w:b w:val="0"/>
          <w:bCs w:val="0"/>
          <w:sz w:val="28"/>
          <w:szCs w:val="28"/>
          <w:lang w:val="en-US" w:eastAsia="zh-CN"/>
        </w:rPr>
      </w:pPr>
    </w:p>
    <w:p>
      <w:pPr>
        <w:pStyle w:val="2"/>
        <w:ind w:left="0" w:leftChars="0" w:firstLine="0" w:firstLineChars="0"/>
        <w:rPr>
          <w:rFonts w:hint="eastAsia" w:ascii="仿宋" w:hAnsi="仿宋" w:eastAsia="仿宋" w:cs="仿宋"/>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公司治理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公司治理结构</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2024年，泰安沪农商村镇银行共召开股东大会2次，审议或听取议案22项。股东大会的召集、召开，出席会议的人员资格，表决程序均符合法律、法规和公司章程的规定，股东大会通过的各项决议合法有效。</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报告期内，该行董事会召开10次会议，审议或听取议案110项。全体董事诚信、专业、勤勉、尽责，严格按照《公司法》、公司章程和公司治理程序，切实保护股东的合法权益，关注和维护存款人和其他利益相关者的利益，有效履行受托职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报告期内，该行监事会召开7次会议，审议或听取议案58项。全体监事勤勉敬业，认真履职，积极参加监事会会议，出席股东大会，列席董事会会议，独立发表意见。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报告期内，该行高级管理层在董事会的授权和监事会的监督下，认真执行董事会决议，接受监事会监督，紧紧围绕业务发展和风险控制两条主线，积极有效地组织开展各项经营管理活动，狠抓案件防控工作，促进该行各项业务取得一定发展，对董事会提出的年度经营指标做出了努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泰安沪农商村镇银行以“建立健全合规风险管理架构、实现对合规风险的有效识别和管理、促进全面风险体系建设、确保依法合规经营”为合规目标，严格落实4A合规管理体系建设要求，在守法合规管理方面主抓案件防控工作，以“从严规定、从严管理、从严问责、从严整改、有效提升”为抓手,深入开展全员合规强化年活动，进一步完善内控案防长效机制建设，落实岗位责任。在反腐倡廉、治理商业贿赂方面，该行实施企业内部风险控制，加强教育、监督、惩罚的力度，向各级工作人员传达二十大精神，开展廉洁从业教育和培训。</w:t>
      </w:r>
    </w:p>
    <w:p>
      <w:pPr>
        <w:keepNext w:val="0"/>
        <w:keepLines w:val="0"/>
        <w:pageBreakBefore w:val="0"/>
        <w:numPr>
          <w:ilvl w:val="0"/>
          <w:numId w:val="0"/>
        </w:numPr>
        <w:kinsoku/>
        <w:wordWrap/>
        <w:overflowPunct/>
        <w:topLinePunct w:val="0"/>
        <w:autoSpaceDE/>
        <w:autoSpaceDN/>
        <w:bidi w:val="0"/>
        <w:snapToGrid/>
        <w:spacing w:line="600" w:lineRule="exact"/>
        <w:ind w:firstLine="562" w:firstLineChars="200"/>
        <w:jc w:val="left"/>
        <w:textAlignment w:val="auto"/>
        <w:rPr>
          <w:rFonts w:hint="eastAsia" w:ascii="仿宋" w:hAnsi="仿宋" w:eastAsia="仿宋" w:cs="仿宋"/>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numPr>
          <w:ilvl w:val="0"/>
          <w:numId w:val="0"/>
        </w:numPr>
        <w:kinsoku/>
        <w:wordWrap/>
        <w:overflowPunct/>
        <w:topLinePunct w:val="0"/>
        <w:autoSpaceDE/>
        <w:autoSpaceDN/>
        <w:bidi w:val="0"/>
        <w:snapToGrid/>
        <w:spacing w:line="600" w:lineRule="exact"/>
        <w:ind w:firstLine="0" w:firstLineChars="0"/>
        <w:jc w:val="lef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投资者关系管理</w:t>
      </w:r>
    </w:p>
    <w:p>
      <w:pPr>
        <w:keepNext w:val="0"/>
        <w:keepLines w:val="0"/>
        <w:pageBreakBefore w:val="0"/>
        <w:widowControl/>
        <w:numPr>
          <w:ilvl w:val="0"/>
          <w:numId w:val="0"/>
        </w:numPr>
        <w:kinsoku/>
        <w:wordWrap/>
        <w:overflowPunct/>
        <w:topLinePunct w:val="0"/>
        <w:autoSpaceDE/>
        <w:autoSpaceDN/>
        <w:bidi w:val="0"/>
        <w:adjustRightInd/>
        <w:snapToGrid/>
        <w:spacing w:line="600" w:lineRule="exact"/>
        <w:ind w:leftChars="0"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泰安沪农商村镇银行不断加强投资者沟通交流，维护股东合法权益。2024年，该行根据中国银保监会办公厅《关于做好&lt;商业银行股权托管办法&gt;实施相关工作的通知》（银保监办发〔2019〕156号）进一步完善健全股权托管工作，提高了股权透明度，提升了股东服务水平。</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default" w:ascii="仿宋" w:hAnsi="仿宋" w:eastAsia="仿宋" w:cs="仿宋"/>
          <w:b w:val="0"/>
          <w:bCs w:val="0"/>
          <w:sz w:val="28"/>
          <w:szCs w:val="28"/>
          <w:lang w:val="en-US" w:eastAsia="zh-CN"/>
        </w:rPr>
      </w:pPr>
    </w:p>
    <w:p>
      <w:pPr>
        <w:keepNext w:val="0"/>
        <w:keepLines w:val="0"/>
        <w:pageBreakBefore w:val="0"/>
        <w:widowControl/>
        <w:numPr>
          <w:ilvl w:val="0"/>
          <w:numId w:val="3"/>
        </w:numPr>
        <w:kinsoku/>
        <w:wordWrap/>
        <w:overflowPunct/>
        <w:topLinePunct w:val="0"/>
        <w:autoSpaceDE/>
        <w:autoSpaceDN/>
        <w:bidi w:val="0"/>
        <w:snapToGrid/>
        <w:spacing w:line="600" w:lineRule="exact"/>
        <w:ind w:firstLine="0" w:firstLineChars="0"/>
        <w:jc w:val="left"/>
        <w:textAlignment w:val="auto"/>
        <w:rPr>
          <w:rFonts w:hint="eastAsia" w:ascii="仿宋" w:hAnsi="仿宋" w:eastAsia="仿宋" w:cs="仿宋"/>
          <w:b/>
          <w:bCs/>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i w:val="0"/>
          <w:iCs w:val="0"/>
          <w:sz w:val="28"/>
          <w:szCs w:val="28"/>
          <w:lang w:val="en-US" w:eastAsia="zh-CN"/>
        </w:rPr>
      </w:pPr>
      <w:r>
        <w:rPr>
          <w:rFonts w:hint="eastAsia" w:ascii="仿宋" w:hAnsi="仿宋" w:eastAsia="仿宋" w:cs="仿宋"/>
          <w:b/>
          <w:bCs/>
          <w:i w:val="0"/>
          <w:iCs w:val="0"/>
          <w:sz w:val="28"/>
          <w:szCs w:val="28"/>
          <w:lang w:val="en-US" w:eastAsia="zh-CN"/>
        </w:rPr>
        <w:t>利益相关方沟通</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3118"/>
        <w:gridCol w:w="3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利益相关方</w:t>
            </w:r>
          </w:p>
        </w:tc>
        <w:tc>
          <w:tcPr>
            <w:tcW w:w="311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期望</w:t>
            </w:r>
          </w:p>
        </w:tc>
        <w:tc>
          <w:tcPr>
            <w:tcW w:w="3968" w:type="dxa"/>
            <w:shd w:val="clear" w:color="auto" w:fill="DEEBF6" w:themeFill="accent1" w:themeFillTint="32"/>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回应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政府</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支持实体经济建设</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落实乡村振兴工作部署</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促进企业稳健发展</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贯彻国家和地方政策</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开展乡村振兴</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明确支农支小战略定位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股东与投资者</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良好的投资回报</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全面及时的信息披露</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健全的企业内部机制建设</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全面准确地把握经济形势和当地特色，强化风险管理，创造可持续价值回报</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准确披露信息，提高透明度</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完善公司治理机制，依法合规、稳健经营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客户</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热情、便捷的金融服务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满足不同需求的金融产品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倾听客户的意见</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强化员工服务意识和业务能力</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创新金融产品的种类与模式</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简化业务流程，完善投诉机制</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保护消费者权益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员工</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以人为本</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关注成长</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实现自我价值</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保障员工合法权益</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完善薪酬福利体系和职业发展规划</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探索企业文化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供应商与合作伙伴</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诚实守信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互利共赢</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公平竞争，诚信履约</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友好互利，相互尊重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社区</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支持社区建设</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搭建银村桥梁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宣传金融知识</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优化网点布局，提升综合服务能力</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加大宣传力度，普及金融政策知识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公众与媒体</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塑造品牌形象</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热心回馈社会</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积极对接，加强宣传</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投身公益事业，打造品牌口碑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2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环境</w:t>
            </w:r>
          </w:p>
        </w:tc>
        <w:tc>
          <w:tcPr>
            <w:tcW w:w="311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信贷投向偏好</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节能减排</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可持续发展</w:t>
            </w:r>
          </w:p>
        </w:tc>
        <w:tc>
          <w:tcPr>
            <w:tcW w:w="3968" w:type="dxa"/>
            <w:vAlign w:val="center"/>
          </w:tcPr>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限制高污染、高能耗的产品</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支持无纸化办公</w:t>
            </w:r>
          </w:p>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倡导节约的企业氛围</w:t>
            </w:r>
          </w:p>
        </w:tc>
      </w:tr>
    </w:tbl>
    <w:p>
      <w:pPr>
        <w:keepNext w:val="0"/>
        <w:keepLines w:val="0"/>
        <w:pageBreakBefore w:val="0"/>
        <w:widowControl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8"/>
          <w:szCs w:val="28"/>
          <w:lang w:val="en-US" w:eastAsia="zh-CN"/>
        </w:rPr>
      </w:pPr>
    </w:p>
    <w:p>
      <w:pPr>
        <w:rPr>
          <w:rFonts w:hint="eastAsia"/>
          <w:lang w:val="en-US" w:eastAsia="zh-CN"/>
        </w:rPr>
      </w:pPr>
      <w:r>
        <w:rPr>
          <w:rFonts w:hint="eastAsia" w:ascii="仿宋" w:hAnsi="仿宋" w:eastAsia="仿宋" w:cs="仿宋"/>
          <w:b/>
          <w:bCs/>
          <w:sz w:val="28"/>
          <w:szCs w:val="28"/>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0" w:firstLineChars="0"/>
        <w:jc w:val="left"/>
        <w:textAlignment w:val="auto"/>
        <w:rPr>
          <w:rFonts w:hint="default"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环境信息披露</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b/>
          <w:bCs/>
          <w:sz w:val="28"/>
          <w:szCs w:val="28"/>
          <w:highlight w:val="none"/>
          <w:lang w:val="en-US" w:eastAsia="zh-CN"/>
        </w:rPr>
      </w:pPr>
      <w:r>
        <w:rPr>
          <w:rFonts w:hint="eastAsia" w:ascii="仿宋" w:hAnsi="仿宋" w:eastAsia="仿宋" w:cs="仿宋"/>
          <w:b w:val="0"/>
          <w:bCs w:val="0"/>
          <w:sz w:val="28"/>
          <w:szCs w:val="28"/>
          <w:highlight w:val="none"/>
          <w:lang w:val="en-US" w:eastAsia="zh-CN"/>
        </w:rPr>
        <w:t>泰安沪农商村镇银行贯彻执行国家宏观政策调控，合理配置资源，发挥金融银行业对社会资源的引导作用，助力绿色产品、创新绿色金融。同时，该行积极传导环境友好理念，履行低碳经济的社会责任，推广网上银行、手机银行、微信银行等业务，降低纸质凭证使用，倡导员工参与环保活动，宣传环保理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一、年度概况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（一）总体概况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泰安沪农商村镇银行</w:t>
      </w:r>
      <w:r>
        <w:rPr>
          <w:rFonts w:hint="eastAsia" w:ascii="仿宋" w:hAnsi="仿宋" w:eastAsia="仿宋" w:cs="仿宋"/>
          <w:sz w:val="28"/>
          <w:szCs w:val="28"/>
        </w:rPr>
        <w:t>作为一家新成立的新型地方农村金融机构，秉承“客户为先，员工为本，股东为重，高效便捷，稳健发展”的经营理念，立足“服务本土、服务三农、服务中小企业”的市场定位，竭诚提供多元化、综合性的金融服务；着力支持新农村建设，加大信贷投入，开发本土化特色产品，有效解决农民和中小企业贷款难的问题；依托“灵活、高效、便捷、细致”的服务特色，发挥资源、政策、体制、技术、品牌、业务等多方面优势，全面提升金融服务水平和效率。</w:t>
      </w:r>
      <w:r>
        <w:rPr>
          <w:rFonts w:hint="eastAsia" w:ascii="仿宋" w:hAnsi="仿宋" w:eastAsia="仿宋" w:cs="仿宋"/>
          <w:sz w:val="28"/>
          <w:szCs w:val="28"/>
          <w:lang w:eastAsia="zh-CN"/>
        </w:rPr>
        <w:t>该行</w:t>
      </w:r>
      <w:r>
        <w:rPr>
          <w:rFonts w:hint="eastAsia" w:ascii="仿宋" w:hAnsi="仿宋" w:eastAsia="仿宋" w:cs="仿宋"/>
          <w:sz w:val="28"/>
          <w:szCs w:val="28"/>
        </w:rPr>
        <w:t>按公司治理要求设有三会一层，即股东</w:t>
      </w:r>
      <w:r>
        <w:rPr>
          <w:rFonts w:hint="eastAsia" w:ascii="仿宋" w:hAnsi="仿宋" w:eastAsia="仿宋" w:cs="仿宋"/>
          <w:sz w:val="28"/>
          <w:szCs w:val="28"/>
          <w:lang w:eastAsia="zh-CN"/>
        </w:rPr>
        <w:t>大</w:t>
      </w:r>
      <w:r>
        <w:rPr>
          <w:rFonts w:hint="eastAsia" w:ascii="仿宋" w:hAnsi="仿宋" w:eastAsia="仿宋" w:cs="仿宋"/>
          <w:sz w:val="28"/>
          <w:szCs w:val="28"/>
        </w:rPr>
        <w:t>会、董事会、监事会、高级管理层，截止202</w:t>
      </w:r>
      <w:r>
        <w:rPr>
          <w:rFonts w:hint="eastAsia" w:ascii="仿宋" w:hAnsi="仿宋" w:eastAsia="仿宋" w:cs="仿宋"/>
          <w:sz w:val="28"/>
          <w:szCs w:val="28"/>
          <w:lang w:val="en-US" w:eastAsia="zh-CN"/>
        </w:rPr>
        <w:t>4</w:t>
      </w:r>
      <w:r>
        <w:rPr>
          <w:rFonts w:hint="eastAsia" w:ascii="仿宋" w:hAnsi="仿宋" w:eastAsia="仿宋" w:cs="仿宋"/>
          <w:sz w:val="28"/>
          <w:szCs w:val="28"/>
        </w:rPr>
        <w:t>年末员工（含劳务派遣）</w:t>
      </w:r>
      <w:r>
        <w:rPr>
          <w:rFonts w:hint="eastAsia" w:ascii="仿宋" w:hAnsi="仿宋" w:eastAsia="仿宋" w:cs="仿宋"/>
          <w:sz w:val="28"/>
          <w:szCs w:val="28"/>
          <w:lang w:val="en-US" w:eastAsia="zh-CN"/>
        </w:rPr>
        <w:t>41</w:t>
      </w:r>
      <w:r>
        <w:rPr>
          <w:rFonts w:hint="eastAsia" w:ascii="仿宋" w:hAnsi="仿宋" w:eastAsia="仿宋" w:cs="仿宋"/>
          <w:sz w:val="28"/>
          <w:szCs w:val="28"/>
        </w:rPr>
        <w:t>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（二）规划目标</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该行</w:t>
      </w:r>
      <w:r>
        <w:rPr>
          <w:rFonts w:hint="eastAsia" w:ascii="仿宋" w:hAnsi="仿宋" w:eastAsia="仿宋" w:cs="仿宋"/>
          <w:sz w:val="28"/>
          <w:szCs w:val="28"/>
        </w:rPr>
        <w:t>坚持以习近平新时代中国特色社会主义思想和党的二十大精神为指导，自觉增强“四个意识”、坚定“四个自信”，积极贯彻落实国家和地方政府实施低碳发展的重大决策部署，立足县域、立足普惠金融，坚持小额、分散，专注小微、“三农”市场，坚持绿色发展理念，加快完善绿色金融体系，不断提升服务绿色产业发展能力，积极支持碳达峰、碳中和。</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该行</w:t>
      </w:r>
      <w:r>
        <w:rPr>
          <w:rFonts w:hint="eastAsia" w:ascii="仿宋" w:hAnsi="仿宋" w:eastAsia="仿宋" w:cs="仿宋"/>
          <w:sz w:val="28"/>
          <w:szCs w:val="28"/>
        </w:rPr>
        <w:t>通过全面推进小微业务，打造适应“三农”及小微企业和社区居民的绿色金融产品和服务，建立具有沪农商村镇银行特色的小微绿色金融服务体系，通过围绕地区支柱产业、重点行业等领域，加大对绿色经济、低碳经济、循环经济的支持，积极探索资金供给新渠道，引导授信资金向环保能源、节能减排、绿色种养、复耕复垦行业等绿色金融领域倾斜，为建成“小而美、小而精”的优秀</w:t>
      </w:r>
      <w:r>
        <w:rPr>
          <w:rFonts w:hint="eastAsia" w:ascii="仿宋" w:hAnsi="仿宋" w:eastAsia="仿宋" w:cs="仿宋"/>
          <w:sz w:val="28"/>
          <w:szCs w:val="28"/>
          <w:lang w:eastAsia="zh-CN"/>
        </w:rPr>
        <w:t>村镇</w:t>
      </w:r>
      <w:r>
        <w:rPr>
          <w:rFonts w:hint="eastAsia" w:ascii="仿宋" w:hAnsi="仿宋" w:eastAsia="仿宋" w:cs="仿宋"/>
          <w:sz w:val="28"/>
          <w:szCs w:val="28"/>
        </w:rPr>
        <w:t>银行，助力区域“三农”和小微企业的绿色低碳转型而不懈努力。</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（三）开展的行动</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1.立足自身，从战略高度推进绿色金融，加大对绿色、低碳、循环经济的支持。</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该行</w:t>
      </w:r>
      <w:r>
        <w:rPr>
          <w:rFonts w:hint="eastAsia" w:ascii="仿宋" w:hAnsi="仿宋" w:eastAsia="仿宋" w:cs="仿宋"/>
          <w:sz w:val="28"/>
          <w:szCs w:val="28"/>
        </w:rPr>
        <w:t>认真贯彻落实普惠金融服务监管要求，加大对小微企业和“三农”信贷投放力度，切实提升小微企业和“三农”服务质效，降低广大群众获得金融服务的成本。全年共发放普惠口径小微企业贷款18298.19万元，小微企业贷款增速24.25%，较各项贷款增速8.59个百分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2.推进绿色金融标准化进程，不断完善绿色信贷、转型金融等产品的认定标准和支持政策。</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该行</w:t>
      </w:r>
      <w:r>
        <w:rPr>
          <w:rFonts w:hint="eastAsia" w:ascii="仿宋" w:hAnsi="仿宋" w:eastAsia="仿宋" w:cs="仿宋"/>
          <w:sz w:val="28"/>
          <w:szCs w:val="28"/>
        </w:rPr>
        <w:t>认真践行普惠金融服务工作要求，积极推进绿色金融标准化进程，贷款客户实行抵押登记费、评估费、小额账户管理费等一系列免费服务政策，主动让利于民。通过推行一系列减免和优惠政策，降低了贫困地区群众获得金融服务的成本，使广大群众真正享受到“负担得起”的金融产品和服务，提升了公众对金融服务的获得感和满意度，更好助力绿色金融标准化进程。</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3.积极践行绿色低碳运营理念。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该行</w:t>
      </w:r>
      <w:r>
        <w:rPr>
          <w:rFonts w:hint="eastAsia" w:ascii="仿宋" w:hAnsi="仿宋" w:eastAsia="仿宋" w:cs="仿宋"/>
          <w:sz w:val="28"/>
          <w:szCs w:val="28"/>
        </w:rPr>
        <w:t>积极开展运营电子化、信息化、 数字化转型，倡导绿色低碳工作、出行和生活方式，降低碳排放水平；积极推动绿色办公、淘汰部分高能耗设施设备，使用更低功耗的机器、灯具及控制设备等；倡导绿色出行，鼓励</w:t>
      </w:r>
      <w:r>
        <w:rPr>
          <w:rFonts w:hint="eastAsia" w:ascii="仿宋" w:hAnsi="仿宋" w:eastAsia="仿宋" w:cs="仿宋"/>
          <w:sz w:val="28"/>
          <w:szCs w:val="28"/>
          <w:lang w:eastAsia="zh-CN"/>
        </w:rPr>
        <w:t>该行</w:t>
      </w:r>
      <w:r>
        <w:rPr>
          <w:rFonts w:hint="eastAsia" w:ascii="仿宋" w:hAnsi="仿宋" w:eastAsia="仿宋" w:cs="仿宋"/>
          <w:sz w:val="28"/>
          <w:szCs w:val="28"/>
        </w:rPr>
        <w:t>员工在办理业务、开会培训以及通勤时乘坐公共交通工具。</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主要工作成效如下：</w:t>
      </w:r>
    </w:p>
    <w:p>
      <w:pPr>
        <w:jc w:val="center"/>
        <w:rPr>
          <w:rFonts w:hint="eastAsia" w:ascii="仿宋" w:hAnsi="仿宋" w:eastAsia="仿宋" w:cs="仿宋"/>
          <w:sz w:val="28"/>
          <w:szCs w:val="28"/>
        </w:rPr>
      </w:pPr>
      <w:r>
        <w:rPr>
          <w:rFonts w:hint="eastAsia" w:ascii="仿宋" w:hAnsi="仿宋" w:eastAsia="仿宋" w:cs="仿宋"/>
          <w:sz w:val="28"/>
          <w:szCs w:val="28"/>
        </w:rPr>
        <w:t>表1：</w:t>
      </w:r>
      <w:r>
        <w:rPr>
          <w:rFonts w:hint="eastAsia" w:ascii="仿宋" w:hAnsi="仿宋" w:eastAsia="仿宋" w:cs="仿宋"/>
          <w:sz w:val="28"/>
          <w:szCs w:val="28"/>
          <w:lang w:eastAsia="zh-CN"/>
        </w:rPr>
        <w:t>泰安</w:t>
      </w:r>
      <w:r>
        <w:rPr>
          <w:rFonts w:hint="eastAsia" w:ascii="仿宋" w:hAnsi="仿宋" w:eastAsia="仿宋" w:cs="仿宋"/>
          <w:sz w:val="28"/>
          <w:szCs w:val="28"/>
        </w:rPr>
        <w:t>沪农商村镇银行关键成果和绩效表</w:t>
      </w:r>
    </w:p>
    <w:tbl>
      <w:tblPr>
        <w:tblStyle w:val="9"/>
        <w:tblW w:w="8150" w:type="dxa"/>
        <w:tblInd w:w="-15"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Layout w:type="fixed"/>
        <w:tblCellMar>
          <w:top w:w="0" w:type="dxa"/>
          <w:left w:w="0" w:type="dxa"/>
          <w:bottom w:w="0" w:type="dxa"/>
          <w:right w:w="0" w:type="dxa"/>
        </w:tblCellMar>
      </w:tblPr>
      <w:tblGrid>
        <w:gridCol w:w="2697"/>
        <w:gridCol w:w="2025"/>
        <w:gridCol w:w="3428"/>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484" w:hRule="atLeast"/>
        </w:trPr>
        <w:tc>
          <w:tcPr>
            <w:tcW w:w="2697"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rPr>
              <w:t>指标</w:t>
            </w:r>
          </w:p>
        </w:tc>
        <w:tc>
          <w:tcPr>
            <w:tcW w:w="2025"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rPr>
              <w:t>单位</w:t>
            </w:r>
          </w:p>
        </w:tc>
        <w:tc>
          <w:tcPr>
            <w:tcW w:w="3428"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rPr>
              <w:t>数值</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rPr>
          <w:trHeight w:val="447" w:hRule="atLeast"/>
        </w:trPr>
        <w:tc>
          <w:tcPr>
            <w:tcW w:w="2697"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rPr>
              <w:t>绿色贷款余额</w:t>
            </w:r>
          </w:p>
        </w:tc>
        <w:tc>
          <w:tcPr>
            <w:tcW w:w="2025"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firstLine="560" w:firstLineChars="200"/>
              <w:jc w:val="both"/>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rPr>
              <w:t>万元</w:t>
            </w:r>
          </w:p>
        </w:tc>
        <w:tc>
          <w:tcPr>
            <w:tcW w:w="3428"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lang w:eastAsia="zh-CN"/>
              </w:rPr>
            </w:pPr>
            <w:r>
              <w:rPr>
                <w:rFonts w:hint="eastAsia" w:ascii="仿宋" w:hAnsi="仿宋" w:eastAsia="仿宋" w:cs="仿宋"/>
                <w:color w:val="565863"/>
                <w:sz w:val="28"/>
                <w:szCs w:val="28"/>
                <w:u w:val="none"/>
                <w:lang w:val="en-US" w:eastAsia="zh-CN"/>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2697"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rPr>
              <w:t>温室气体排放总量（范围1 + 范围2）</w:t>
            </w:r>
          </w:p>
        </w:tc>
        <w:tc>
          <w:tcPr>
            <w:tcW w:w="2025"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rPr>
              <w:t>吨二氧化碳当量</w:t>
            </w:r>
          </w:p>
        </w:tc>
        <w:tc>
          <w:tcPr>
            <w:tcW w:w="3428"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66.60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2697"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rPr>
              <w:t>范围1</w:t>
            </w:r>
          </w:p>
        </w:tc>
        <w:tc>
          <w:tcPr>
            <w:tcW w:w="2025"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leftChars="0" w:right="0" w:rightChars="0"/>
              <w:jc w:val="center"/>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rPr>
              <w:t>吨二氧化碳当量</w:t>
            </w:r>
          </w:p>
        </w:tc>
        <w:tc>
          <w:tcPr>
            <w:tcW w:w="3428" w:type="dxa"/>
            <w:tcBorders>
              <w:top w:val="outset" w:color="000000" w:sz="6" w:space="0"/>
              <w:left w:val="nil"/>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eastAsia" w:ascii="仿宋" w:hAnsi="仿宋" w:eastAsia="仿宋" w:cs="仿宋"/>
                <w:color w:val="565863"/>
                <w:kern w:val="0"/>
                <w:sz w:val="28"/>
                <w:szCs w:val="28"/>
                <w:u w:val="none"/>
                <w:lang w:val="en-US" w:eastAsia="zh-CN" w:bidi="ar"/>
              </w:rPr>
            </w:pPr>
            <w:r>
              <w:rPr>
                <w:rFonts w:hint="eastAsia" w:ascii="仿宋" w:hAnsi="仿宋" w:eastAsia="仿宋" w:cs="仿宋"/>
                <w:color w:val="565863"/>
                <w:sz w:val="28"/>
                <w:szCs w:val="28"/>
                <w:u w:val="none"/>
                <w:lang w:val="en-US" w:eastAsia="zh-CN"/>
              </w:rPr>
              <w:t>21.17</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2697"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lang w:eastAsia="zh-CN"/>
              </w:rPr>
            </w:pPr>
            <w:r>
              <w:rPr>
                <w:rFonts w:hint="eastAsia" w:ascii="仿宋" w:hAnsi="仿宋" w:eastAsia="仿宋" w:cs="仿宋"/>
                <w:color w:val="565863"/>
                <w:sz w:val="28"/>
                <w:szCs w:val="28"/>
                <w:u w:val="none"/>
              </w:rPr>
              <w:t>范围</w:t>
            </w:r>
            <w:r>
              <w:rPr>
                <w:rFonts w:hint="eastAsia" w:ascii="仿宋" w:hAnsi="仿宋" w:eastAsia="仿宋" w:cs="仿宋"/>
                <w:color w:val="565863"/>
                <w:sz w:val="28"/>
                <w:szCs w:val="28"/>
                <w:u w:val="none"/>
                <w:lang w:val="en-US" w:eastAsia="zh-CN"/>
              </w:rPr>
              <w:t>2</w:t>
            </w:r>
          </w:p>
        </w:tc>
        <w:tc>
          <w:tcPr>
            <w:tcW w:w="2025"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leftChars="0" w:right="0" w:rightChars="0"/>
              <w:jc w:val="center"/>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rPr>
              <w:t>吨二氧化碳当量</w:t>
            </w:r>
          </w:p>
        </w:tc>
        <w:tc>
          <w:tcPr>
            <w:tcW w:w="3428" w:type="dxa"/>
            <w:tcBorders>
              <w:left w:val="nil"/>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eastAsia" w:ascii="仿宋" w:hAnsi="仿宋" w:eastAsia="仿宋" w:cs="仿宋"/>
                <w:color w:val="565863"/>
                <w:kern w:val="0"/>
                <w:sz w:val="28"/>
                <w:szCs w:val="28"/>
                <w:u w:val="none"/>
                <w:lang w:val="en-US" w:eastAsia="zh-CN" w:bidi="ar"/>
              </w:rPr>
            </w:pPr>
            <w:r>
              <w:rPr>
                <w:rFonts w:hint="eastAsia" w:ascii="仿宋" w:hAnsi="仿宋" w:eastAsia="仿宋" w:cs="仿宋"/>
                <w:color w:val="565863"/>
                <w:sz w:val="28"/>
                <w:szCs w:val="28"/>
                <w:u w:val="none"/>
                <w:lang w:val="en-US" w:eastAsia="zh-CN"/>
              </w:rPr>
              <w:t>45.43</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c>
          <w:tcPr>
            <w:tcW w:w="2697"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lang w:eastAsia="zh-CN"/>
              </w:rPr>
            </w:pPr>
            <w:r>
              <w:rPr>
                <w:rFonts w:hint="eastAsia" w:ascii="仿宋" w:hAnsi="仿宋" w:eastAsia="仿宋" w:cs="仿宋"/>
                <w:color w:val="565863"/>
                <w:sz w:val="28"/>
                <w:szCs w:val="28"/>
                <w:u w:val="none"/>
              </w:rPr>
              <w:t>范围</w:t>
            </w:r>
            <w:r>
              <w:rPr>
                <w:rFonts w:hint="eastAsia" w:ascii="仿宋" w:hAnsi="仿宋" w:eastAsia="仿宋" w:cs="仿宋"/>
                <w:color w:val="565863"/>
                <w:sz w:val="28"/>
                <w:szCs w:val="28"/>
                <w:u w:val="none"/>
                <w:lang w:val="en-US" w:eastAsia="zh-CN"/>
              </w:rPr>
              <w:t>3</w:t>
            </w:r>
          </w:p>
        </w:tc>
        <w:tc>
          <w:tcPr>
            <w:tcW w:w="2025"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leftChars="0" w:right="0" w:rightChars="0"/>
              <w:jc w:val="center"/>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rPr>
              <w:t>吨二氧化碳当量</w:t>
            </w:r>
          </w:p>
        </w:tc>
        <w:tc>
          <w:tcPr>
            <w:tcW w:w="3428" w:type="dxa"/>
            <w:tcBorders>
              <w:left w:val="nil"/>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rightChars="0"/>
              <w:jc w:val="center"/>
              <w:textAlignment w:val="auto"/>
              <w:rPr>
                <w:rFonts w:hint="eastAsia" w:ascii="仿宋" w:hAnsi="仿宋" w:eastAsia="仿宋" w:cs="仿宋"/>
                <w:color w:val="565863"/>
                <w:kern w:val="0"/>
                <w:sz w:val="28"/>
                <w:szCs w:val="28"/>
                <w:u w:val="none"/>
                <w:lang w:val="en-US" w:eastAsia="zh-CN" w:bidi="ar"/>
              </w:rPr>
            </w:pPr>
            <w:r>
              <w:rPr>
                <w:rFonts w:hint="eastAsia" w:ascii="仿宋" w:hAnsi="仿宋" w:eastAsia="仿宋" w:cs="仿宋"/>
                <w:color w:val="565863"/>
                <w:sz w:val="28"/>
                <w:szCs w:val="28"/>
                <w:u w:val="none"/>
              </w:rPr>
              <w:t>1</w:t>
            </w:r>
            <w:r>
              <w:rPr>
                <w:rFonts w:hint="eastAsia" w:ascii="仿宋" w:hAnsi="仿宋" w:eastAsia="仿宋" w:cs="仿宋"/>
                <w:color w:val="565863"/>
                <w:sz w:val="28"/>
                <w:szCs w:val="28"/>
                <w:u w:val="none"/>
                <w:lang w:val="en-US" w:eastAsia="zh-CN"/>
              </w:rPr>
              <w:t>3.55</w:t>
            </w:r>
          </w:p>
        </w:tc>
      </w:tr>
    </w:tbl>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二、环境相关治理结构与政策制度</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 （一）治理结构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该行</w:t>
      </w:r>
      <w:r>
        <w:rPr>
          <w:rFonts w:hint="eastAsia" w:ascii="仿宋" w:hAnsi="仿宋" w:eastAsia="仿宋" w:cs="仿宋"/>
          <w:sz w:val="28"/>
          <w:szCs w:val="28"/>
        </w:rPr>
        <w:t>对标最佳社会责任实践，不断探索可持续发展路径，从治理结构方面不断加强对绿色金融工作的组织保障。</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报告期内，</w:t>
      </w:r>
      <w:r>
        <w:rPr>
          <w:rFonts w:hint="eastAsia" w:ascii="仿宋" w:hAnsi="仿宋" w:eastAsia="仿宋" w:cs="仿宋"/>
          <w:sz w:val="28"/>
          <w:szCs w:val="28"/>
          <w:lang w:eastAsia="zh-CN"/>
        </w:rPr>
        <w:t>该行</w:t>
      </w:r>
      <w:r>
        <w:rPr>
          <w:rFonts w:hint="eastAsia" w:ascii="仿宋" w:hAnsi="仿宋" w:eastAsia="仿宋" w:cs="仿宋"/>
          <w:sz w:val="28"/>
          <w:szCs w:val="28"/>
        </w:rPr>
        <w:t>严格按照《公司法》《商业银行法》和《商业银行公司治理指引》等相关法律法规，将建设中国特色现代企业制度作为深化改革的重要抓手，构建制度体系，健全治理机制，建立了较为完善的公司治理结构，设立了股东大会、董事会、监事会并制定了相应的议事规则。</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w:t>
      </w:r>
      <w:r>
        <w:rPr>
          <w:rFonts w:hint="eastAsia" w:ascii="仿宋" w:hAnsi="仿宋" w:eastAsia="仿宋" w:cs="仿宋"/>
          <w:sz w:val="28"/>
          <w:szCs w:val="28"/>
          <w:lang w:val="en-US" w:eastAsia="zh-CN"/>
        </w:rPr>
        <w:t>.</w:t>
      </w:r>
      <w:r>
        <w:rPr>
          <w:rFonts w:hint="eastAsia" w:ascii="仿宋" w:hAnsi="仿宋" w:eastAsia="仿宋" w:cs="仿宋"/>
          <w:sz w:val="28"/>
          <w:szCs w:val="28"/>
        </w:rPr>
        <w:t>董事会层面</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该行</w:t>
      </w:r>
      <w:r>
        <w:rPr>
          <w:rFonts w:hint="eastAsia" w:ascii="仿宋" w:hAnsi="仿宋" w:eastAsia="仿宋" w:cs="仿宋"/>
          <w:sz w:val="28"/>
          <w:szCs w:val="28"/>
        </w:rPr>
        <w:t>董事会主要负责确定绿色信贷发展战略，审批高级管理层制定的绿色信贷目标及绿色信贷报告，监督、评估</w:t>
      </w:r>
      <w:r>
        <w:rPr>
          <w:rFonts w:hint="eastAsia" w:ascii="仿宋" w:hAnsi="仿宋" w:eastAsia="仿宋" w:cs="仿宋"/>
          <w:sz w:val="28"/>
          <w:szCs w:val="28"/>
          <w:lang w:eastAsia="zh-CN"/>
        </w:rPr>
        <w:t>该行</w:t>
      </w:r>
      <w:r>
        <w:rPr>
          <w:rFonts w:hint="eastAsia" w:ascii="仿宋" w:hAnsi="仿宋" w:eastAsia="仿宋" w:cs="仿宋"/>
          <w:sz w:val="28"/>
          <w:szCs w:val="28"/>
        </w:rPr>
        <w:t>机构绿色信贷发展战略执行情况。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w:t>
      </w:r>
      <w:r>
        <w:rPr>
          <w:rFonts w:hint="eastAsia" w:ascii="仿宋" w:hAnsi="仿宋" w:eastAsia="仿宋" w:cs="仿宋"/>
          <w:sz w:val="28"/>
          <w:szCs w:val="28"/>
          <w:lang w:val="en-US" w:eastAsia="zh-CN"/>
        </w:rPr>
        <w:t>.</w:t>
      </w:r>
      <w:r>
        <w:rPr>
          <w:rFonts w:hint="eastAsia" w:ascii="仿宋" w:hAnsi="仿宋" w:eastAsia="仿宋" w:cs="仿宋"/>
          <w:sz w:val="28"/>
          <w:szCs w:val="28"/>
        </w:rPr>
        <w:t>高级管理层层面</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该行</w:t>
      </w:r>
      <w:r>
        <w:rPr>
          <w:rFonts w:hint="eastAsia" w:ascii="仿宋" w:hAnsi="仿宋" w:eastAsia="仿宋" w:cs="仿宋"/>
          <w:sz w:val="28"/>
          <w:szCs w:val="28"/>
        </w:rPr>
        <w:t>高级管理层负责根据董事会的决定，制定绿色信贷目标，建立绿色信贷管理机制和流程，明确各个部门职责和权限，促进信贷资金对绿色农业、节能环保、绿色清洁、新材料等领域的投放。</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三、环境风险与机遇</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（一）环境风险影响</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1.政策风险</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目前</w:t>
      </w:r>
      <w:r>
        <w:rPr>
          <w:rFonts w:hint="eastAsia" w:ascii="仿宋" w:hAnsi="仿宋" w:eastAsia="仿宋" w:cs="仿宋"/>
          <w:sz w:val="28"/>
          <w:szCs w:val="28"/>
          <w:lang w:eastAsia="zh-CN"/>
        </w:rPr>
        <w:t>该行</w:t>
      </w:r>
      <w:r>
        <w:rPr>
          <w:rFonts w:hint="eastAsia" w:ascii="仿宋" w:hAnsi="仿宋" w:eastAsia="仿宋" w:cs="仿宋"/>
          <w:sz w:val="28"/>
          <w:szCs w:val="28"/>
        </w:rPr>
        <w:t>还未建立完整的绿色信贷管理体系，未明确绿色金融业务服务范围和目标。另外，资金投放行业范围、客群范围筛选不够精细，与“双碳”目标衔接不够紧密。金融产品定价上，还未纳入碳定价策略机制，使得信贷服务无法充分反映绿色属性，尚未形成市场导向型的信贷服务，不利于绿色资源的有效配置。</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2.法律风险</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在环境领域，我国出台了《中国人民共和国环境保护法》《中华人民共和国节约能源法》等法律法规，若</w:t>
      </w:r>
      <w:r>
        <w:rPr>
          <w:rFonts w:hint="eastAsia" w:ascii="仿宋" w:hAnsi="仿宋" w:eastAsia="仿宋" w:cs="仿宋"/>
          <w:sz w:val="28"/>
          <w:szCs w:val="28"/>
          <w:lang w:eastAsia="zh-CN"/>
        </w:rPr>
        <w:t>该行</w:t>
      </w:r>
      <w:r>
        <w:rPr>
          <w:rFonts w:hint="eastAsia" w:ascii="仿宋" w:hAnsi="仿宋" w:eastAsia="仿宋" w:cs="仿宋"/>
          <w:sz w:val="28"/>
          <w:szCs w:val="28"/>
        </w:rPr>
        <w:t>未能认真遵守相关要求，可能会带来因罚款和判决导致的成本增加等风险。相关融资主体涉及环境事件时，银行机构等债权人面临着承担连带责任的风险。</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3.制度风险</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企业绿色信息披露制度不健全。环境污染信息未纳入征信。各类信息分布分散，缺乏集中、整合和共享的机制，使得绿色金融服务联动不畅。</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（二）环境机遇分析</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环境、气候与生态相关风险将会对经济的发展前景和发展模式造成巨大影响，也对</w:t>
      </w:r>
      <w:r>
        <w:rPr>
          <w:rFonts w:hint="eastAsia" w:ascii="仿宋" w:hAnsi="仿宋" w:eastAsia="仿宋" w:cs="仿宋"/>
          <w:sz w:val="28"/>
          <w:szCs w:val="28"/>
          <w:lang w:eastAsia="zh-CN"/>
        </w:rPr>
        <w:t>该行</w:t>
      </w:r>
      <w:r>
        <w:rPr>
          <w:rFonts w:hint="eastAsia" w:ascii="仿宋" w:hAnsi="仿宋" w:eastAsia="仿宋" w:cs="仿宋"/>
          <w:sz w:val="28"/>
          <w:szCs w:val="28"/>
        </w:rPr>
        <w:t>乃至整个银行业带来巨大挑战，因此作为服务和促进经济发展的银行业，应加快完善银行管理制度与环境信息披露制度，避免因环境、气候等带来的潜在风险。</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该行</w:t>
      </w:r>
      <w:r>
        <w:rPr>
          <w:rFonts w:hint="eastAsia" w:ascii="仿宋" w:hAnsi="仿宋" w:eastAsia="仿宋" w:cs="仿宋"/>
          <w:sz w:val="28"/>
          <w:szCs w:val="28"/>
        </w:rPr>
        <w:t>应主动将绿色金融纳入银行整体发展战略中，一是完善绿色金融业务内控合规制度。业务上明确绿色金融业务服务范围和目标，将碳定价纳入全流程风险控制，建立绿色账户体系，便于监测资金流；二是建立绿色客户名单，围绕绿色、低碳与高质量发展等要求选择客户，并适时调整客户结构；三是加大科技赋能力度，促进绿色金融与普惠金融融合发展，做小微和“三农”企业绿色低碳转型的“放大器”。  </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（三）环境风险管理及流程 </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1.实施差异化管理</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由于单个公司和项目面临的风险影响范围不同，为了管理单个公司和融资项目两类对象，可分别设计不同侧重的管理方案。同时，在实行绿色信贷过程中，</w:t>
      </w:r>
      <w:r>
        <w:rPr>
          <w:rFonts w:hint="eastAsia" w:ascii="仿宋" w:hAnsi="仿宋" w:eastAsia="仿宋" w:cs="仿宋"/>
          <w:sz w:val="28"/>
          <w:szCs w:val="28"/>
          <w:lang w:eastAsia="zh-CN"/>
        </w:rPr>
        <w:t>该行</w:t>
      </w:r>
      <w:r>
        <w:rPr>
          <w:rFonts w:hint="eastAsia" w:ascii="仿宋" w:hAnsi="仿宋" w:eastAsia="仿宋" w:cs="仿宋"/>
          <w:sz w:val="28"/>
          <w:szCs w:val="28"/>
        </w:rPr>
        <w:t>实行名单制管理。建立“环境与社会风险客户名单”，把涉及重大环境和社会风险的客户纳入名单之内，对于名单内的客户审慎授信；对于已授信且还有贷款余额的客户，出现环境和社会风险的，应该停止对其继续授信，并按期收回贷款。</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2.完善中小型银行的环境风险管理体系</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该行</w:t>
      </w:r>
      <w:r>
        <w:rPr>
          <w:rFonts w:hint="eastAsia" w:ascii="仿宋" w:hAnsi="仿宋" w:eastAsia="仿宋" w:cs="仿宋"/>
          <w:sz w:val="28"/>
          <w:szCs w:val="28"/>
        </w:rPr>
        <w:t>建立了信贷环境风险管理体制机制，加强绿色信贷执行情况纳入稽核检查范畴，定期组织检查。对环境和社会风险影响突出的贷款项目，不定期开展专项检查，并根据检查结果督促整改，对违规向环境违法项目发放贷款的行为严肃查处。</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四、自身经营活动的环境影响</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按照中国人民银行编制的《金融机构碳核算技术指南（试行）》，参照GB/T 32150《工业企业温室气体排放核算和报告通则》的流程和要求，</w:t>
      </w:r>
      <w:r>
        <w:rPr>
          <w:rFonts w:hint="eastAsia" w:ascii="仿宋" w:hAnsi="仿宋" w:eastAsia="仿宋" w:cs="仿宋"/>
          <w:sz w:val="28"/>
          <w:szCs w:val="28"/>
          <w:lang w:eastAsia="zh-CN"/>
        </w:rPr>
        <w:t>该行</w:t>
      </w:r>
      <w:r>
        <w:rPr>
          <w:rFonts w:hint="eastAsia" w:ascii="仿宋" w:hAnsi="仿宋" w:eastAsia="仿宋" w:cs="仿宋"/>
          <w:sz w:val="28"/>
          <w:szCs w:val="28"/>
        </w:rPr>
        <w:t>按照：1）确定碳排放核算边界；2）识别主要的二氧化碳源；3）确定核算方法；4）选择与收集碳排放活动数据；5）选择或测算排放因子；6）计算与汇总自身的碳排放量的流程开展自身运营过程的核算流程开展经营活动的碳排放测算。</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按照《金融机构碳核算技术指南（试行）》指导思想，在数据可获得且碳排放量显著的情况下，金融机构可将其运行和活动带来的显著的间接碳排放（如交通、大型活动等）纳入核算。</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（一）核算范围与排放源识别</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eastAsia="zh-CN"/>
        </w:rPr>
        <w:t>该行</w:t>
      </w:r>
      <w:r>
        <w:rPr>
          <w:rFonts w:hint="eastAsia" w:ascii="仿宋" w:hAnsi="仿宋" w:eastAsia="仿宋" w:cs="仿宋"/>
          <w:sz w:val="28"/>
          <w:szCs w:val="28"/>
        </w:rPr>
        <w:t>核算口径以总部机关及各支行网点、离行设备等固定/移动设备设施和供应链活动作为核算边界。</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核算时间为202</w:t>
      </w:r>
      <w:r>
        <w:rPr>
          <w:rFonts w:hint="eastAsia" w:ascii="仿宋" w:hAnsi="仿宋" w:eastAsia="仿宋" w:cs="仿宋"/>
          <w:sz w:val="28"/>
          <w:szCs w:val="28"/>
          <w:lang w:val="en-US" w:eastAsia="zh-CN"/>
        </w:rPr>
        <w:t>4</w:t>
      </w:r>
      <w:r>
        <w:rPr>
          <w:rFonts w:hint="eastAsia" w:ascii="仿宋" w:hAnsi="仿宋" w:eastAsia="仿宋" w:cs="仿宋"/>
          <w:sz w:val="28"/>
          <w:szCs w:val="28"/>
        </w:rPr>
        <w:t>年1月1日至202</w:t>
      </w:r>
      <w:r>
        <w:rPr>
          <w:rFonts w:hint="eastAsia" w:ascii="仿宋" w:hAnsi="仿宋" w:eastAsia="仿宋" w:cs="仿宋"/>
          <w:sz w:val="28"/>
          <w:szCs w:val="28"/>
          <w:lang w:val="en-US" w:eastAsia="zh-CN"/>
        </w:rPr>
        <w:t>4</w:t>
      </w:r>
      <w:r>
        <w:rPr>
          <w:rFonts w:hint="eastAsia" w:ascii="仿宋" w:hAnsi="仿宋" w:eastAsia="仿宋" w:cs="仿宋"/>
          <w:sz w:val="28"/>
          <w:szCs w:val="28"/>
        </w:rPr>
        <w:t>年12月31日。</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按照核算范围划分，其自身运营碳排放维度的排放源包括如下领域：</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1.范围一</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银行机构自身运营边界内所产生的直接排放，指核算边界内固定和移动燃烧设备中发生氧化燃烧过程产生的温室气体排放，包括：公务用车消耗的汽油。</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2.范围二</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银行机构自身运营边界内所产生的间接排放，指总部机关及各支行网点消耗外购电力所产生的二氧化碳排放，包括：公共机构照明、空调（新风）、办公设备、ATM配套等。</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3.范围三</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银行机构自身运营相关的供应链端所产生的间接排放，指供应链端所产生的间接碳排放。根据数据可获得性原则，此次计算只包括：</w:t>
      </w:r>
      <w:r>
        <w:rPr>
          <w:rFonts w:hint="eastAsia" w:ascii="仿宋" w:hAnsi="仿宋" w:eastAsia="仿宋" w:cs="仿宋"/>
          <w:sz w:val="28"/>
          <w:szCs w:val="28"/>
          <w:lang w:val="en-US" w:eastAsia="zh-CN"/>
        </w:rPr>
        <w:t>员工通勤、</w:t>
      </w:r>
      <w:r>
        <w:rPr>
          <w:rFonts w:hint="eastAsia" w:ascii="仿宋" w:hAnsi="仿宋" w:eastAsia="仿宋" w:cs="仿宋"/>
          <w:sz w:val="28"/>
          <w:szCs w:val="28"/>
        </w:rPr>
        <w:t>垃圾分类处理产生的排放,不包括差旅产生的排放。</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（二）自身经营活动产生的温室气体排放与构成 </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结合《金融机构环境信息披露指南》要求，</w:t>
      </w:r>
      <w:r>
        <w:rPr>
          <w:rFonts w:hint="eastAsia" w:ascii="仿宋" w:hAnsi="仿宋" w:eastAsia="仿宋" w:cs="仿宋"/>
          <w:sz w:val="28"/>
          <w:szCs w:val="28"/>
          <w:lang w:eastAsia="zh-CN"/>
        </w:rPr>
        <w:t>该行</w:t>
      </w:r>
      <w:r>
        <w:rPr>
          <w:rFonts w:hint="eastAsia" w:ascii="仿宋" w:hAnsi="仿宋" w:eastAsia="仿宋" w:cs="仿宋"/>
          <w:sz w:val="28"/>
          <w:szCs w:val="28"/>
        </w:rPr>
        <w:t>测算了202</w:t>
      </w:r>
      <w:r>
        <w:rPr>
          <w:rFonts w:hint="eastAsia" w:ascii="仿宋" w:hAnsi="仿宋" w:eastAsia="仿宋" w:cs="仿宋"/>
          <w:sz w:val="28"/>
          <w:szCs w:val="28"/>
          <w:lang w:val="en-US" w:eastAsia="zh-CN"/>
        </w:rPr>
        <w:t>4</w:t>
      </w:r>
      <w:r>
        <w:rPr>
          <w:rFonts w:hint="eastAsia" w:ascii="仿宋" w:hAnsi="仿宋" w:eastAsia="仿宋" w:cs="仿宋"/>
          <w:sz w:val="28"/>
          <w:szCs w:val="28"/>
        </w:rPr>
        <w:t>年自身经营活动资源消耗情况和温室气体碳排放量，结果如下：202</w:t>
      </w:r>
      <w:r>
        <w:rPr>
          <w:rFonts w:hint="eastAsia" w:ascii="仿宋" w:hAnsi="仿宋" w:eastAsia="仿宋" w:cs="仿宋"/>
          <w:sz w:val="28"/>
          <w:szCs w:val="28"/>
          <w:lang w:val="en-US" w:eastAsia="zh-CN"/>
        </w:rPr>
        <w:t>4</w:t>
      </w:r>
      <w:r>
        <w:rPr>
          <w:rFonts w:hint="eastAsia" w:ascii="仿宋" w:hAnsi="仿宋" w:eastAsia="仿宋" w:cs="仿宋"/>
          <w:sz w:val="28"/>
          <w:szCs w:val="28"/>
        </w:rPr>
        <w:t>年度自身运营温室气体排放总量（范围1、范围2和范围3）为</w:t>
      </w:r>
      <w:r>
        <w:rPr>
          <w:rFonts w:hint="eastAsia" w:ascii="仿宋" w:hAnsi="仿宋" w:eastAsia="仿宋" w:cs="仿宋"/>
          <w:sz w:val="28"/>
          <w:szCs w:val="28"/>
          <w:lang w:val="en-US" w:eastAsia="zh-CN"/>
        </w:rPr>
        <w:t>80.15</w:t>
      </w:r>
      <w:r>
        <w:rPr>
          <w:rFonts w:hint="eastAsia" w:ascii="仿宋" w:hAnsi="仿宋" w:eastAsia="仿宋" w:cs="仿宋"/>
          <w:sz w:val="28"/>
          <w:szCs w:val="28"/>
        </w:rPr>
        <w:t>吨二氧化碳当量，按照员工总人数</w:t>
      </w:r>
      <w:r>
        <w:rPr>
          <w:rFonts w:hint="eastAsia" w:ascii="仿宋" w:hAnsi="仿宋" w:eastAsia="仿宋" w:cs="仿宋"/>
          <w:sz w:val="28"/>
          <w:szCs w:val="28"/>
          <w:lang w:val="en-US" w:eastAsia="zh-CN"/>
        </w:rPr>
        <w:t>41人</w:t>
      </w:r>
      <w:r>
        <w:rPr>
          <w:rFonts w:hint="eastAsia" w:ascii="仿宋" w:hAnsi="仿宋" w:eastAsia="仿宋" w:cs="仿宋"/>
          <w:sz w:val="28"/>
          <w:szCs w:val="28"/>
        </w:rPr>
        <w:t xml:space="preserve">计算，人均温室气体排放 </w:t>
      </w:r>
      <w:r>
        <w:rPr>
          <w:rFonts w:hint="eastAsia" w:ascii="仿宋" w:hAnsi="仿宋" w:eastAsia="仿宋" w:cs="仿宋"/>
          <w:sz w:val="28"/>
          <w:szCs w:val="28"/>
          <w:lang w:val="en-US" w:eastAsia="zh-CN"/>
        </w:rPr>
        <w:t>1.95</w:t>
      </w:r>
      <w:r>
        <w:rPr>
          <w:rFonts w:hint="eastAsia" w:ascii="仿宋" w:hAnsi="仿宋" w:eastAsia="仿宋" w:cs="仿宋"/>
          <w:sz w:val="28"/>
          <w:szCs w:val="28"/>
        </w:rPr>
        <w:t>吨二氧化碳当量。</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表2：</w:t>
      </w:r>
      <w:r>
        <w:rPr>
          <w:rFonts w:hint="eastAsia" w:ascii="仿宋" w:hAnsi="仿宋" w:eastAsia="仿宋" w:cs="仿宋"/>
          <w:sz w:val="28"/>
          <w:szCs w:val="28"/>
          <w:lang w:eastAsia="zh-CN"/>
        </w:rPr>
        <w:t>泰安</w:t>
      </w:r>
      <w:r>
        <w:rPr>
          <w:rFonts w:hint="eastAsia" w:ascii="仿宋" w:hAnsi="仿宋" w:eastAsia="仿宋" w:cs="仿宋"/>
          <w:sz w:val="28"/>
          <w:szCs w:val="28"/>
        </w:rPr>
        <w:t>沪农商村镇银行202</w:t>
      </w:r>
      <w:r>
        <w:rPr>
          <w:rFonts w:hint="eastAsia" w:ascii="仿宋" w:hAnsi="仿宋" w:eastAsia="仿宋" w:cs="仿宋"/>
          <w:sz w:val="28"/>
          <w:szCs w:val="28"/>
          <w:lang w:val="en-US" w:eastAsia="zh-CN"/>
        </w:rPr>
        <w:t>4</w:t>
      </w:r>
      <w:r>
        <w:rPr>
          <w:rFonts w:hint="eastAsia" w:ascii="仿宋" w:hAnsi="仿宋" w:eastAsia="仿宋" w:cs="仿宋"/>
          <w:sz w:val="28"/>
          <w:szCs w:val="28"/>
        </w:rPr>
        <w:t>年度自身运营温室气体</w:t>
      </w:r>
    </w:p>
    <w:p>
      <w:pPr>
        <w:keepNext w:val="0"/>
        <w:keepLines w:val="0"/>
        <w:pageBreakBefore w:val="0"/>
        <w:widowControl w:val="0"/>
        <w:kinsoku/>
        <w:wordWrap/>
        <w:overflowPunct/>
        <w:topLinePunct w:val="0"/>
        <w:autoSpaceDE/>
        <w:autoSpaceDN/>
        <w:bidi w:val="0"/>
        <w:adjustRightInd/>
        <w:snapToGrid/>
        <w:spacing w:line="600" w:lineRule="exact"/>
        <w:ind w:firstLine="3360" w:firstLineChars="1200"/>
        <w:textAlignment w:val="auto"/>
        <w:rPr>
          <w:rFonts w:hint="eastAsia" w:ascii="仿宋" w:hAnsi="仿宋" w:eastAsia="仿宋" w:cs="仿宋"/>
          <w:sz w:val="28"/>
          <w:szCs w:val="28"/>
        </w:rPr>
      </w:pPr>
      <w:r>
        <w:rPr>
          <w:rFonts w:hint="eastAsia" w:ascii="仿宋" w:hAnsi="仿宋" w:eastAsia="仿宋" w:cs="仿宋"/>
          <w:sz w:val="28"/>
          <w:szCs w:val="28"/>
        </w:rPr>
        <w:t>排放总量构成</w:t>
      </w:r>
    </w:p>
    <w:tbl>
      <w:tblPr>
        <w:tblStyle w:val="9"/>
        <w:tblW w:w="8319" w:type="dxa"/>
        <w:tblInd w:w="-15" w:type="dxa"/>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Layout w:type="autofit"/>
        <w:tblCellMar>
          <w:top w:w="0" w:type="dxa"/>
          <w:left w:w="0" w:type="dxa"/>
          <w:bottom w:w="0" w:type="dxa"/>
          <w:right w:w="0" w:type="dxa"/>
        </w:tblCellMar>
      </w:tblPr>
      <w:tblGrid>
        <w:gridCol w:w="2051"/>
        <w:gridCol w:w="2051"/>
        <w:gridCol w:w="1863"/>
        <w:gridCol w:w="2354"/>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2051"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rPr>
            </w:pPr>
          </w:p>
        </w:tc>
        <w:tc>
          <w:tcPr>
            <w:tcW w:w="2051"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rPr>
              <w:t>排放量（吨二氧化碳当量）</w:t>
            </w:r>
          </w:p>
        </w:tc>
        <w:tc>
          <w:tcPr>
            <w:tcW w:w="1863"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rPr>
              <w:t>占比</w:t>
            </w:r>
            <w:r>
              <w:rPr>
                <w:rFonts w:hint="eastAsia" w:ascii="仿宋" w:hAnsi="仿宋" w:eastAsia="仿宋" w:cs="仿宋"/>
                <w:color w:val="565863"/>
                <w:sz w:val="28"/>
                <w:szCs w:val="28"/>
                <w:u w:val="none"/>
                <w:lang w:eastAsia="zh-CN"/>
              </w:rPr>
              <w:t>（</w:t>
            </w:r>
            <w:r>
              <w:rPr>
                <w:rFonts w:hint="eastAsia" w:ascii="仿宋" w:hAnsi="仿宋" w:eastAsia="仿宋" w:cs="仿宋"/>
                <w:color w:val="565863"/>
                <w:sz w:val="28"/>
                <w:szCs w:val="28"/>
                <w:u w:val="none"/>
                <w:lang w:val="en-US" w:eastAsia="zh-CN"/>
              </w:rPr>
              <w:t>%）</w:t>
            </w:r>
          </w:p>
        </w:tc>
        <w:tc>
          <w:tcPr>
            <w:tcW w:w="2354"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rPr>
              <w:t>人均排放量（吨二氧化碳当量）</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2051"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范围一</w:t>
            </w:r>
          </w:p>
        </w:tc>
        <w:tc>
          <w:tcPr>
            <w:tcW w:w="2051"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21.17</w:t>
            </w:r>
          </w:p>
        </w:tc>
        <w:tc>
          <w:tcPr>
            <w:tcW w:w="1863"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lang w:val="en-US" w:eastAsia="zh-CN"/>
              </w:rPr>
              <w:t>26.41</w:t>
            </w:r>
          </w:p>
        </w:tc>
        <w:tc>
          <w:tcPr>
            <w:tcW w:w="2354"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0.51</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2051"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eastAsia"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范围二</w:t>
            </w:r>
          </w:p>
        </w:tc>
        <w:tc>
          <w:tcPr>
            <w:tcW w:w="2051"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45.43</w:t>
            </w:r>
          </w:p>
        </w:tc>
        <w:tc>
          <w:tcPr>
            <w:tcW w:w="1863"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lang w:val="en-US" w:eastAsia="zh-CN"/>
              </w:rPr>
              <w:t>56.68</w:t>
            </w:r>
          </w:p>
        </w:tc>
        <w:tc>
          <w:tcPr>
            <w:tcW w:w="2354"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1.11</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2051"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eastAsia"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范围三</w:t>
            </w:r>
          </w:p>
        </w:tc>
        <w:tc>
          <w:tcPr>
            <w:tcW w:w="2051"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13.55</w:t>
            </w:r>
          </w:p>
        </w:tc>
        <w:tc>
          <w:tcPr>
            <w:tcW w:w="1863"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eastAsia" w:ascii="仿宋" w:hAnsi="仿宋" w:eastAsia="仿宋" w:cs="仿宋"/>
                <w:color w:val="565863"/>
                <w:sz w:val="28"/>
                <w:szCs w:val="28"/>
                <w:u w:val="none"/>
              </w:rPr>
            </w:pPr>
            <w:r>
              <w:rPr>
                <w:rFonts w:hint="eastAsia" w:ascii="仿宋" w:hAnsi="仿宋" w:eastAsia="仿宋" w:cs="仿宋"/>
                <w:color w:val="565863"/>
                <w:sz w:val="28"/>
                <w:szCs w:val="28"/>
                <w:u w:val="none"/>
                <w:lang w:val="en-US" w:eastAsia="zh-CN"/>
              </w:rPr>
              <w:t>16.91</w:t>
            </w:r>
          </w:p>
        </w:tc>
        <w:tc>
          <w:tcPr>
            <w:tcW w:w="2354"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0.33</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auto"/>
          <w:tblCellMar>
            <w:top w:w="0" w:type="dxa"/>
            <w:left w:w="0" w:type="dxa"/>
            <w:bottom w:w="0" w:type="dxa"/>
            <w:right w:w="0" w:type="dxa"/>
          </w:tblCellMar>
        </w:tblPrEx>
        <w:tc>
          <w:tcPr>
            <w:tcW w:w="2051"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合计</w:t>
            </w:r>
          </w:p>
        </w:tc>
        <w:tc>
          <w:tcPr>
            <w:tcW w:w="2051" w:type="dxa"/>
            <w:tcBorders>
              <w:top w:val="outset" w:color="000000" w:sz="6" w:space="0"/>
              <w:left w:val="outset" w:color="000000" w:sz="6" w:space="0"/>
              <w:bottom w:val="outset" w:color="000000" w:sz="6" w:space="0"/>
              <w:right w:val="outset" w:color="000000" w:sz="6" w:space="0"/>
            </w:tcBorders>
            <w:shd w:val="clear" w:color="auto" w:fill="auto"/>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80.15</w:t>
            </w:r>
          </w:p>
        </w:tc>
        <w:tc>
          <w:tcPr>
            <w:tcW w:w="1863"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right="0"/>
              <w:jc w:val="center"/>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100</w:t>
            </w:r>
          </w:p>
        </w:tc>
        <w:tc>
          <w:tcPr>
            <w:tcW w:w="2354" w:type="dxa"/>
            <w:tcBorders>
              <w:top w:val="outset" w:color="000000" w:sz="6" w:space="0"/>
              <w:left w:val="outset" w:color="000000" w:sz="6" w:space="0"/>
              <w:bottom w:val="outset" w:color="000000" w:sz="6" w:space="0"/>
              <w:right w:val="outset" w:color="000000" w:sz="6" w:space="0"/>
            </w:tcBorders>
            <w:shd w:val="clear" w:color="auto" w:fill="auto"/>
            <w:vAlign w:val="top"/>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560" w:firstLineChars="200"/>
              <w:jc w:val="both"/>
              <w:textAlignment w:val="auto"/>
              <w:rPr>
                <w:rFonts w:hint="default" w:ascii="仿宋" w:hAnsi="仿宋" w:eastAsia="仿宋" w:cs="仿宋"/>
                <w:color w:val="565863"/>
                <w:sz w:val="28"/>
                <w:szCs w:val="28"/>
                <w:u w:val="none"/>
                <w:lang w:val="en-US" w:eastAsia="zh-CN"/>
              </w:rPr>
            </w:pPr>
            <w:r>
              <w:rPr>
                <w:rFonts w:hint="eastAsia" w:ascii="仿宋" w:hAnsi="仿宋" w:eastAsia="仿宋" w:cs="仿宋"/>
                <w:color w:val="565863"/>
                <w:sz w:val="28"/>
                <w:szCs w:val="28"/>
                <w:u w:val="none"/>
                <w:lang w:val="en-US" w:eastAsia="zh-CN"/>
              </w:rPr>
              <w:t>1.95</w:t>
            </w:r>
          </w:p>
        </w:tc>
      </w:tr>
    </w:tbl>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按照主要排放源分析，排放最高的前三名分别为：</w:t>
      </w:r>
      <w:r>
        <w:rPr>
          <w:rFonts w:hint="eastAsia" w:ascii="仿宋" w:hAnsi="仿宋" w:eastAsia="仿宋" w:cs="仿宋"/>
          <w:sz w:val="28"/>
          <w:szCs w:val="28"/>
          <w:lang w:val="en-US" w:eastAsia="zh-CN"/>
        </w:rPr>
        <w:t>营业</w:t>
      </w:r>
      <w:r>
        <w:rPr>
          <w:rFonts w:hint="eastAsia" w:ascii="仿宋" w:hAnsi="仿宋" w:eastAsia="仿宋" w:cs="仿宋"/>
          <w:sz w:val="28"/>
          <w:szCs w:val="28"/>
        </w:rPr>
        <w:t>网点消耗电力如公共机构照明、空调（新风）、办公设备、ATM配套等产生排放</w:t>
      </w:r>
      <w:r>
        <w:rPr>
          <w:rFonts w:hint="eastAsia" w:ascii="仿宋" w:hAnsi="仿宋" w:eastAsia="仿宋" w:cs="仿宋"/>
          <w:sz w:val="28"/>
          <w:szCs w:val="28"/>
          <w:lang w:val="en-US" w:eastAsia="zh-CN"/>
        </w:rPr>
        <w:t>45.43</w:t>
      </w:r>
      <w:r>
        <w:rPr>
          <w:rFonts w:hint="eastAsia" w:ascii="仿宋" w:hAnsi="仿宋" w:eastAsia="仿宋" w:cs="仿宋"/>
          <w:sz w:val="28"/>
          <w:szCs w:val="28"/>
        </w:rPr>
        <w:t>吨二氧化碳当量，占比</w:t>
      </w:r>
      <w:r>
        <w:rPr>
          <w:rFonts w:hint="eastAsia" w:ascii="仿宋" w:hAnsi="仿宋" w:eastAsia="仿宋" w:cs="仿宋"/>
          <w:sz w:val="28"/>
          <w:szCs w:val="28"/>
          <w:lang w:val="en-US" w:eastAsia="zh-CN"/>
        </w:rPr>
        <w:t>56.68</w:t>
      </w:r>
      <w:r>
        <w:rPr>
          <w:rFonts w:hint="eastAsia" w:ascii="仿宋" w:hAnsi="仿宋" w:eastAsia="仿宋" w:cs="仿宋"/>
          <w:sz w:val="28"/>
          <w:szCs w:val="28"/>
        </w:rPr>
        <w:t>%；公务用车消耗的汽油等产生排放</w:t>
      </w:r>
      <w:r>
        <w:rPr>
          <w:rFonts w:hint="eastAsia" w:ascii="仿宋" w:hAnsi="仿宋" w:eastAsia="仿宋" w:cs="仿宋"/>
          <w:sz w:val="28"/>
          <w:szCs w:val="28"/>
          <w:lang w:val="en-US" w:eastAsia="zh-CN"/>
        </w:rPr>
        <w:t>21.17</w:t>
      </w:r>
      <w:r>
        <w:rPr>
          <w:rFonts w:hint="eastAsia" w:ascii="仿宋" w:hAnsi="仿宋" w:eastAsia="仿宋" w:cs="仿宋"/>
          <w:sz w:val="28"/>
          <w:szCs w:val="28"/>
        </w:rPr>
        <w:t>吨二氧化碳当量，占比</w:t>
      </w:r>
      <w:r>
        <w:rPr>
          <w:rFonts w:hint="eastAsia" w:ascii="仿宋" w:hAnsi="仿宋" w:eastAsia="仿宋" w:cs="仿宋"/>
          <w:sz w:val="28"/>
          <w:szCs w:val="28"/>
          <w:lang w:val="en-US" w:eastAsia="zh-CN"/>
        </w:rPr>
        <w:t>26.41</w:t>
      </w:r>
      <w:r>
        <w:rPr>
          <w:rFonts w:hint="eastAsia" w:ascii="仿宋" w:hAnsi="仿宋" w:eastAsia="仿宋" w:cs="仿宋"/>
          <w:sz w:val="28"/>
          <w:szCs w:val="28"/>
        </w:rPr>
        <w:t>%;其他间接消耗产生排放</w:t>
      </w:r>
      <w:r>
        <w:rPr>
          <w:rFonts w:hint="eastAsia" w:ascii="仿宋" w:hAnsi="仿宋" w:eastAsia="仿宋" w:cs="仿宋"/>
          <w:sz w:val="28"/>
          <w:szCs w:val="28"/>
          <w:lang w:val="en-US" w:eastAsia="zh-CN"/>
        </w:rPr>
        <w:t>13.55</w:t>
      </w:r>
      <w:r>
        <w:rPr>
          <w:rFonts w:hint="eastAsia" w:ascii="仿宋" w:hAnsi="仿宋" w:eastAsia="仿宋" w:cs="仿宋"/>
          <w:sz w:val="28"/>
          <w:szCs w:val="28"/>
        </w:rPr>
        <w:t>吨二氧化碳当量，占比</w:t>
      </w:r>
      <w:r>
        <w:rPr>
          <w:rFonts w:hint="eastAsia" w:ascii="仿宋" w:hAnsi="仿宋" w:eastAsia="仿宋" w:cs="仿宋"/>
          <w:sz w:val="28"/>
          <w:szCs w:val="28"/>
          <w:lang w:val="en-US" w:eastAsia="zh-CN"/>
        </w:rPr>
        <w:t>16.91</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五、投融资活动环境影响</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按照中国人民银行编制的《金融机构碳核算技术指南（试行）》，参照GB/T 32150《工业企业温室气体排放核算和报告通则》的流程和要求，</w:t>
      </w:r>
      <w:r>
        <w:rPr>
          <w:rFonts w:hint="eastAsia" w:ascii="仿宋" w:hAnsi="仿宋" w:eastAsia="仿宋" w:cs="仿宋"/>
          <w:sz w:val="28"/>
          <w:szCs w:val="28"/>
          <w:lang w:eastAsia="zh-CN"/>
        </w:rPr>
        <w:t>该行</w:t>
      </w:r>
      <w:r>
        <w:rPr>
          <w:rFonts w:hint="eastAsia" w:ascii="仿宋" w:hAnsi="仿宋" w:eastAsia="仿宋" w:cs="仿宋"/>
          <w:sz w:val="28"/>
          <w:szCs w:val="28"/>
        </w:rPr>
        <w:t>202</w:t>
      </w:r>
      <w:r>
        <w:rPr>
          <w:rFonts w:hint="eastAsia" w:ascii="仿宋" w:hAnsi="仿宋" w:eastAsia="仿宋" w:cs="仿宋"/>
          <w:sz w:val="28"/>
          <w:szCs w:val="28"/>
          <w:lang w:val="en-US" w:eastAsia="zh-CN"/>
        </w:rPr>
        <w:t>4</w:t>
      </w:r>
      <w:r>
        <w:rPr>
          <w:rFonts w:hint="eastAsia" w:ascii="仿宋" w:hAnsi="仿宋" w:eastAsia="仿宋" w:cs="仿宋"/>
          <w:sz w:val="28"/>
          <w:szCs w:val="28"/>
        </w:rPr>
        <w:t>年没有月均融资额大于500万元的规模以上工业企业贷款，故暂不涉及投融资活动环境影响信息披露。</w:t>
      </w: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sz w:val="28"/>
          <w:szCs w:val="28"/>
          <w:lang w:val="en-US" w:eastAsia="zh-CN"/>
        </w:rPr>
        <w:sectPr>
          <w:pgSz w:w="11906" w:h="16838"/>
          <w:pgMar w:top="1440" w:right="1800" w:bottom="1440" w:left="1800" w:header="851" w:footer="992" w:gutter="0"/>
          <w:pgNumType w:fmt="decimal"/>
          <w:cols w:space="425"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第四节 社会责任实践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经济责任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长期以来，泰安沪农商村镇银行坚持扎根农村，承担乡村振兴新使命。新时代赋予新使命，该行在解决社会难点的过程中寻找新机遇、拓展新客户，为客户创造价值，切实提升“三农”、小微、社区客户满意度，实现商业银行与社会功能的有机统一。</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2"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highlight w:val="none"/>
          <w:lang w:val="en-US" w:eastAsia="zh-CN"/>
        </w:rPr>
        <w:t>服务三农：</w:t>
      </w:r>
      <w:r>
        <w:rPr>
          <w:rFonts w:hint="eastAsia" w:ascii="仿宋" w:hAnsi="仿宋" w:eastAsia="仿宋" w:cs="仿宋"/>
          <w:b w:val="0"/>
          <w:bCs w:val="0"/>
          <w:sz w:val="28"/>
          <w:szCs w:val="28"/>
          <w:highlight w:val="none"/>
          <w:lang w:val="en-US" w:eastAsia="zh-CN"/>
        </w:rPr>
        <w:t>加强金融产品创新（全行涉农余额</w:t>
      </w:r>
      <w:r>
        <w:rPr>
          <w:rFonts w:hint="eastAsia" w:ascii="仿宋" w:hAnsi="仿宋" w:eastAsia="仿宋" w:cs="仿宋"/>
          <w:sz w:val="28"/>
          <w:szCs w:val="28"/>
          <w:highlight w:val="none"/>
        </w:rPr>
        <w:t>17734.46</w:t>
      </w:r>
      <w:r>
        <w:rPr>
          <w:rFonts w:hint="eastAsia" w:ascii="仿宋" w:hAnsi="仿宋" w:eastAsia="仿宋" w:cs="仿宋"/>
          <w:b w:val="0"/>
          <w:bCs w:val="0"/>
          <w:sz w:val="28"/>
          <w:szCs w:val="28"/>
          <w:highlight w:val="none"/>
          <w:lang w:val="en-US" w:eastAsia="zh-CN"/>
        </w:rPr>
        <w:t>万元、服务企业类涉农经营主体488家）、多方合作扶农助农、拓宽支农渠道、促进就业创业等；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2" w:firstLineChars="200"/>
        <w:jc w:val="left"/>
        <w:textAlignment w:val="auto"/>
        <w:rPr>
          <w:rFonts w:hint="default"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服务小微：</w:t>
      </w:r>
      <w:r>
        <w:rPr>
          <w:rFonts w:hint="eastAsia" w:ascii="仿宋" w:hAnsi="仿宋" w:eastAsia="仿宋" w:cs="仿宋"/>
          <w:b w:val="0"/>
          <w:bCs w:val="0"/>
          <w:sz w:val="28"/>
          <w:szCs w:val="28"/>
          <w:highlight w:val="none"/>
          <w:lang w:val="en-US" w:eastAsia="zh-CN"/>
        </w:rPr>
        <w:t>信贷政策支持、创新产品支持、平台渠道支持等；</w:t>
      </w:r>
    </w:p>
    <w:tbl>
      <w:tblPr>
        <w:tblStyle w:val="10"/>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指标名称</w:t>
            </w:r>
          </w:p>
        </w:tc>
        <w:tc>
          <w:tcPr>
            <w:tcW w:w="113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单位</w:t>
            </w:r>
          </w:p>
        </w:tc>
        <w:tc>
          <w:tcPr>
            <w:tcW w:w="170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2024年</w:t>
            </w:r>
          </w:p>
        </w:tc>
        <w:tc>
          <w:tcPr>
            <w:tcW w:w="170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2023年</w:t>
            </w:r>
          </w:p>
        </w:tc>
        <w:tc>
          <w:tcPr>
            <w:tcW w:w="170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小微企业贷款余额</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万元</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16802.48</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13523.59</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13900.7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小微企业贷款占比</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64.61</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60.14</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小微企业贷款客户数量</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户</w:t>
            </w:r>
          </w:p>
        </w:tc>
        <w:tc>
          <w:tcPr>
            <w:tcW w:w="170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609</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439</w:t>
            </w:r>
          </w:p>
        </w:tc>
        <w:tc>
          <w:tcPr>
            <w:tcW w:w="170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426</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2"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优质服务：</w:t>
      </w:r>
      <w:r>
        <w:rPr>
          <w:rFonts w:hint="eastAsia" w:ascii="仿宋" w:hAnsi="仿宋" w:eastAsia="仿宋" w:cs="仿宋"/>
          <w:b w:val="0"/>
          <w:bCs w:val="0"/>
          <w:sz w:val="28"/>
          <w:szCs w:val="28"/>
          <w:lang w:val="en-US" w:eastAsia="zh-CN"/>
        </w:rPr>
        <w:t>优化网点布局、拓展服务渠道、提升服务质量（投诉、信息保护、满意度调查）、优化业务流程等。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泰安沪农商村镇银行始终坚持“以客户为中心”的发展理念，提升金融服务水平，打造有温度的适老化金融服务。一是不断优化线下服务设施，设立老年人业务办理优先窗口，提供预约上门服务，确保金融服务“零障碍”。网点内配备老花镜、无障碍通道等设施，方便老年人办理业务。二是改进线上服务方式，手机银行APP推出大字版，操作页面清晰简化。三是加强支付安全教育，该行联合社区开展支付安全知识讲座，用通俗易懂的语言讲解常见的支付诈骗手段及防范方法，增强老年人防骗能力。四是保留传统服务方式，尊重老年人的习惯和需求，保留现金、纸质存折、存单等服务方式，不强制老年人开卡、开手机银行等，提升现金服务能力，储备总量充足、券别合理的现金，满足老年人需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该行高度重视优质文明服务的建设，将服务理念融入到单位文化中，强化员工服务意识和优质服务素养，加强服务规范和标准，高度重视员工的岗前服务培训和岗位技能培训，不断提高员工的专业技术水平和服务意识。在做好文明服务工作的同时，该行扎实做好便民服务工作，丰富便民设施，要求员工多加强细节处理，多进行换位思考，不断延伸服务内涵，做到细致化、人性化、温馨化。</w:t>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社会责任</w:t>
      </w: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员工责任</w:t>
      </w:r>
    </w:p>
    <w:tbl>
      <w:tblPr>
        <w:tblStyle w:val="10"/>
        <w:tblW w:w="9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134"/>
        <w:gridCol w:w="1701"/>
        <w:gridCol w:w="3"/>
        <w:gridCol w:w="1698"/>
        <w:gridCol w:w="7"/>
        <w:gridCol w:w="1694"/>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指标名称</w:t>
            </w:r>
          </w:p>
        </w:tc>
        <w:tc>
          <w:tcPr>
            <w:tcW w:w="1134" w:type="dxa"/>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单位</w:t>
            </w:r>
          </w:p>
        </w:tc>
        <w:tc>
          <w:tcPr>
            <w:tcW w:w="1704" w:type="dxa"/>
            <w:gridSpan w:val="2"/>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2024年</w:t>
            </w:r>
          </w:p>
        </w:tc>
        <w:tc>
          <w:tcPr>
            <w:tcW w:w="1705" w:type="dxa"/>
            <w:gridSpan w:val="2"/>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2023年</w:t>
            </w:r>
          </w:p>
        </w:tc>
        <w:tc>
          <w:tcPr>
            <w:tcW w:w="1705" w:type="dxa"/>
            <w:gridSpan w:val="2"/>
            <w:shd w:val="clear" w:color="auto" w:fill="DEEBF6" w:themeFill="accent1" w:themeFillTint="32"/>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eastAsia"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员工总数</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人</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36</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39</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女性员工占比</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56</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59</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员工流失率</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12</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18</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培训项目数</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场</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78</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74</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培训人次</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jc w:val="center"/>
              <w:textAlignment w:val="auto"/>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人次</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1282</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1087</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567" w:hRule="atLeast"/>
        </w:trPr>
        <w:tc>
          <w:tcPr>
            <w:tcW w:w="2835"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人均培训经费支出</w:t>
            </w:r>
          </w:p>
        </w:tc>
        <w:tc>
          <w:tcPr>
            <w:tcW w:w="1134"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万元</w:t>
            </w:r>
          </w:p>
        </w:tc>
        <w:tc>
          <w:tcPr>
            <w:tcW w:w="1701" w:type="dxa"/>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0.107</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0.04</w:t>
            </w:r>
          </w:p>
        </w:tc>
        <w:tc>
          <w:tcPr>
            <w:tcW w:w="1701" w:type="dxa"/>
            <w:gridSpan w:val="2"/>
            <w:vAlign w:val="center"/>
          </w:tcPr>
          <w:p>
            <w:pPr>
              <w:keepNext w:val="0"/>
              <w:keepLines w:val="0"/>
              <w:pageBreakBefore w:val="0"/>
              <w:numPr>
                <w:ilvl w:val="0"/>
                <w:numId w:val="0"/>
              </w:numPr>
              <w:kinsoku/>
              <w:wordWrap/>
              <w:overflowPunct/>
              <w:topLinePunct w:val="0"/>
              <w:autoSpaceDE/>
              <w:autoSpaceDN/>
              <w:bidi w:val="0"/>
              <w:snapToGrid/>
              <w:spacing w:line="600" w:lineRule="exact"/>
              <w:ind w:left="0" w:leftChars="0" w:firstLine="0" w:firstLineChars="0"/>
              <w:jc w:val="center"/>
              <w:textAlignment w:val="auto"/>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0.013</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kern w:val="2"/>
          <w:sz w:val="28"/>
          <w:szCs w:val="28"/>
          <w:highlight w:val="yellow"/>
          <w:lang w:val="en-US" w:eastAsia="zh-CN" w:bidi="ar-SA"/>
        </w:rPr>
      </w:pPr>
    </w:p>
    <w:p>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br w:type="page"/>
      </w: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金融教育责任</w:t>
      </w: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大力开展公众金融教育宣传</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2024年公众金融教育累计投入2.99万元，服务消费者9000人次。</w:t>
      </w:r>
    </w:p>
    <w:p>
      <w:pPr>
        <w:keepNext w:val="0"/>
        <w:keepLines w:val="0"/>
        <w:pageBreakBefore w:val="0"/>
        <w:numPr>
          <w:ilvl w:val="0"/>
          <w:numId w:val="0"/>
        </w:numPr>
        <w:kinsoku/>
        <w:wordWrap/>
        <w:overflowPunct/>
        <w:topLinePunct w:val="0"/>
        <w:autoSpaceDE/>
        <w:autoSpaceDN/>
        <w:bidi w:val="0"/>
        <w:snapToGrid/>
        <w:spacing w:line="60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rPr>
      </w:pPr>
      <w:r>
        <w:rPr>
          <w:rFonts w:hint="eastAsia" w:ascii="仿宋" w:hAnsi="仿宋" w:eastAsia="仿宋" w:cs="仿宋"/>
          <w:b/>
          <w:bCs/>
          <w:color w:val="auto"/>
          <w:kern w:val="2"/>
          <w:sz w:val="28"/>
          <w:szCs w:val="28"/>
          <w:highlight w:val="none"/>
          <w:lang w:val="en-US" w:eastAsia="zh-CN"/>
        </w:rPr>
        <w:t>金融教育形式和渠道：</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（一）依托物理网点为阵地开展教育宣传，利用电子屏、自助机具等媒体设备播放宣传内容；设立公众教育区，张贴宣传海报，发放宣传资料，安排工作人员提供现场咨询讲解等；举办专题教育讲座或培训。</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（二）依托、整合相关社会资源共同开展</w:t>
      </w:r>
      <w:r>
        <w:rPr>
          <w:rFonts w:hint="eastAsia" w:ascii="仿宋" w:hAnsi="仿宋" w:eastAsia="仿宋" w:cs="仿宋"/>
          <w:color w:val="auto"/>
          <w:kern w:val="2"/>
          <w:sz w:val="28"/>
          <w:szCs w:val="28"/>
          <w:highlight w:val="none"/>
          <w:lang w:eastAsia="zh-CN"/>
        </w:rPr>
        <w:t>，</w:t>
      </w:r>
      <w:r>
        <w:rPr>
          <w:rFonts w:hint="eastAsia" w:ascii="仿宋" w:hAnsi="仿宋" w:eastAsia="仿宋" w:cs="仿宋"/>
          <w:color w:val="auto"/>
          <w:kern w:val="2"/>
          <w:sz w:val="28"/>
          <w:szCs w:val="28"/>
          <w:highlight w:val="none"/>
          <w:lang w:val="en-US" w:eastAsia="zh-CN"/>
        </w:rPr>
        <w:t>该行</w:t>
      </w:r>
      <w:r>
        <w:rPr>
          <w:rFonts w:hint="eastAsia" w:ascii="仿宋" w:hAnsi="仿宋" w:eastAsia="仿宋" w:cs="仿宋"/>
          <w:color w:val="auto"/>
          <w:kern w:val="2"/>
          <w:sz w:val="28"/>
          <w:szCs w:val="28"/>
          <w:highlight w:val="none"/>
        </w:rPr>
        <w:t>深入社区、学校、园区、企业等，通过设立宣传教育点、举办专题讲座等形式有针对性地开展教育宣传活动；</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kern w:val="2"/>
          <w:sz w:val="28"/>
          <w:szCs w:val="28"/>
        </w:rPr>
      </w:pPr>
      <w:r>
        <w:rPr>
          <w:rFonts w:hint="eastAsia" w:ascii="仿宋" w:hAnsi="仿宋" w:eastAsia="仿宋" w:cs="仿宋"/>
          <w:color w:val="auto"/>
          <w:kern w:val="2"/>
          <w:sz w:val="28"/>
          <w:szCs w:val="28"/>
          <w:highlight w:val="none"/>
        </w:rPr>
        <w:t>（三）借助各类在线电子渠道开展宣传，通过手机银行、微信公众号等渠道推送金融知识，扩大受众范围；</w:t>
      </w:r>
    </w:p>
    <w:p>
      <w:pPr>
        <w:keepNext w:val="0"/>
        <w:keepLines w:val="0"/>
        <w:pageBreakBefore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kern w:val="2"/>
          <w:sz w:val="28"/>
          <w:szCs w:val="28"/>
          <w:lang w:eastAsia="zh-CN"/>
        </w:rPr>
      </w:pPr>
      <w:r>
        <w:rPr>
          <w:rFonts w:hint="eastAsia" w:ascii="仿宋" w:hAnsi="仿宋" w:eastAsia="仿宋" w:cs="仿宋"/>
          <w:color w:val="auto"/>
          <w:kern w:val="2"/>
          <w:sz w:val="28"/>
          <w:szCs w:val="28"/>
        </w:rPr>
        <w:t>（四）利用主流传播渠道，如杂志、第三方网站刊登金融知识宣传教育文章等</w:t>
      </w:r>
      <w:r>
        <w:rPr>
          <w:rFonts w:hint="eastAsia" w:ascii="仿宋" w:hAnsi="仿宋" w:eastAsia="仿宋" w:cs="仿宋"/>
          <w:color w:val="auto"/>
          <w:kern w:val="2"/>
          <w:sz w:val="28"/>
          <w:szCs w:val="28"/>
          <w:lang w:eastAsia="zh-CN"/>
        </w:rPr>
        <w:t>。</w:t>
      </w:r>
    </w:p>
    <w:p>
      <w:pPr>
        <w:keepNext w:val="0"/>
        <w:keepLines w:val="0"/>
        <w:pageBreakBefore w:val="0"/>
        <w:numPr>
          <w:ilvl w:val="0"/>
          <w:numId w:val="0"/>
        </w:numPr>
        <w:kinsoku/>
        <w:wordWrap/>
        <w:overflowPunct/>
        <w:topLinePunct w:val="0"/>
        <w:autoSpaceDE/>
        <w:autoSpaceDN/>
        <w:bidi w:val="0"/>
        <w:snapToGrid/>
        <w:spacing w:line="600" w:lineRule="exact"/>
        <w:ind w:firstLine="562" w:firstLineChars="200"/>
        <w:jc w:val="left"/>
        <w:textAlignment w:val="auto"/>
        <w:rPr>
          <w:rFonts w:hint="default" w:ascii="仿宋" w:hAnsi="仿宋" w:eastAsia="仿宋" w:cs="仿宋"/>
          <w:b/>
          <w:bCs/>
          <w:kern w:val="2"/>
          <w:sz w:val="28"/>
          <w:szCs w:val="28"/>
          <w:lang w:val="en-US" w:eastAsia="zh-CN"/>
        </w:rPr>
      </w:pPr>
      <w:r>
        <w:rPr>
          <w:rFonts w:hint="eastAsia" w:ascii="仿宋" w:hAnsi="仿宋" w:eastAsia="仿宋" w:cs="仿宋"/>
          <w:b/>
          <w:bCs/>
          <w:kern w:val="2"/>
          <w:sz w:val="28"/>
          <w:szCs w:val="28"/>
          <w:lang w:val="en-US" w:eastAsia="zh-CN"/>
        </w:rPr>
        <w:t>金融教育内容：</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（一）国家金融政策及法律法规;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（二）消费者权益保护法律法规，金融纠纷调解的渠道、方法和流程;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（三）基础金融知识;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（四）介绍常见或新型金融及电信诈骗、非法集资手段、特点及危害,提高社会公众风险防范意识;</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（五）银行卡、电子银行等支付安全与使用注意事项; </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（六）反假币;</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（七）反洗钱;</w:t>
      </w:r>
    </w:p>
    <w:p>
      <w:pPr>
        <w:keepNext w:val="0"/>
        <w:keepLines w:val="0"/>
        <w:pageBreakBefore w:val="0"/>
        <w:widowControl/>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（八）个人征信及个人信息保护宣传;</w:t>
      </w:r>
    </w:p>
    <w:p>
      <w:pPr>
        <w:keepNext w:val="0"/>
        <w:keepLines w:val="0"/>
        <w:pageBreakBefore w:val="0"/>
        <w:widowControl/>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（九）其他金融知识教育宣传相关内容。</w:t>
      </w:r>
    </w:p>
    <w:p>
      <w:pPr>
        <w:keepNext w:val="0"/>
        <w:keepLines w:val="0"/>
        <w:pageBreakBefore w:val="0"/>
        <w:numPr>
          <w:ilvl w:val="0"/>
          <w:numId w:val="0"/>
        </w:numPr>
        <w:kinsoku/>
        <w:wordWrap/>
        <w:overflowPunct/>
        <w:topLinePunct w:val="0"/>
        <w:autoSpaceDE/>
        <w:autoSpaceDN/>
        <w:bidi w:val="0"/>
        <w:snapToGrid/>
        <w:spacing w:line="600" w:lineRule="exact"/>
        <w:ind w:leftChars="0" w:firstLine="560"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color w:val="auto"/>
          <w:sz w:val="28"/>
          <w:szCs w:val="28"/>
          <w:highlight w:val="none"/>
        </w:rPr>
        <w:t>随着各种新型电信网络诈骗犯罪形式层出不穷，为进一步提高中老年人识骗防骗能力，2024年</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rPr>
        <w:t>月份该行在行内开展了“</w:t>
      </w:r>
      <w:r>
        <w:rPr>
          <w:rFonts w:hint="eastAsia" w:ascii="仿宋" w:hAnsi="仿宋" w:eastAsia="仿宋" w:cs="仿宋"/>
          <w:color w:val="auto"/>
          <w:sz w:val="28"/>
          <w:szCs w:val="28"/>
          <w:highlight w:val="none"/>
          <w:lang w:val="en-US" w:eastAsia="zh-CN"/>
        </w:rPr>
        <w:t>金融知识公益讲座</w:t>
      </w:r>
      <w:r>
        <w:rPr>
          <w:rFonts w:hint="eastAsia" w:ascii="仿宋" w:hAnsi="仿宋" w:eastAsia="仿宋" w:cs="仿宋"/>
          <w:color w:val="auto"/>
          <w:sz w:val="28"/>
          <w:szCs w:val="28"/>
          <w:highlight w:val="none"/>
        </w:rPr>
        <w:t>”活动邀约中老年人来行，通过案例分析、观看防诈骗电影等方式向中老年人讲解常见的诈骗手段及防范措施，该行员工手把手引导中老年人安装、使用国家反诈中心APP，为中老年人筑起预防电信网络诈骗的安全屏障，</w:t>
      </w:r>
      <w:r>
        <w:rPr>
          <w:rFonts w:hint="eastAsia" w:ascii="仿宋" w:hAnsi="仿宋" w:eastAsia="仿宋" w:cs="仿宋"/>
          <w:color w:val="auto"/>
          <w:sz w:val="28"/>
          <w:szCs w:val="28"/>
          <w:highlight w:val="none"/>
          <w:lang w:val="en-US" w:eastAsia="zh-CN"/>
        </w:rPr>
        <w:t>受</w:t>
      </w:r>
      <w:r>
        <w:rPr>
          <w:rFonts w:hint="eastAsia" w:ascii="仿宋" w:hAnsi="仿宋" w:eastAsia="仿宋" w:cs="仿宋"/>
          <w:color w:val="auto"/>
          <w:sz w:val="28"/>
          <w:szCs w:val="28"/>
          <w:highlight w:val="none"/>
        </w:rPr>
        <w:t>到群众的一致好评。</w:t>
      </w:r>
    </w:p>
    <w:p>
      <w:pPr>
        <w:pStyle w:val="2"/>
        <w:ind w:left="0" w:leftChars="0" w:firstLine="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highlight w:val="yellow"/>
          <w:lang w:val="en-US" w:eastAsia="zh-CN"/>
        </w:rPr>
        <w:drawing>
          <wp:inline distT="0" distB="0" distL="114300" distR="114300">
            <wp:extent cx="5111115" cy="3833495"/>
            <wp:effectExtent l="0" t="0" r="9525" b="6985"/>
            <wp:docPr id="8" name="图片 8" descr="IMG_20220623_090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20623_090034(1)"/>
                    <pic:cNvPicPr>
                      <a:picLocks noChangeAspect="1"/>
                    </pic:cNvPicPr>
                  </pic:nvPicPr>
                  <pic:blipFill>
                    <a:blip r:embed="rId9"/>
                    <a:stretch>
                      <a:fillRect/>
                    </a:stretch>
                  </pic:blipFill>
                  <pic:spPr>
                    <a:xfrm>
                      <a:off x="0" y="0"/>
                      <a:ext cx="5111115" cy="3833495"/>
                    </a:xfrm>
                    <a:prstGeom prst="rect">
                      <a:avLst/>
                    </a:prstGeom>
                  </pic:spPr>
                </pic:pic>
              </a:graphicData>
            </a:graphic>
          </wp:inline>
        </w:drawing>
      </w:r>
    </w:p>
    <w:p>
      <w:pPr>
        <w:keepNext w:val="0"/>
        <w:keepLines w:val="0"/>
        <w:pageBreakBefore w:val="0"/>
        <w:numPr>
          <w:ilvl w:val="0"/>
          <w:numId w:val="0"/>
        </w:numPr>
        <w:kinsoku/>
        <w:wordWrap/>
        <w:overflowPunct/>
        <w:topLinePunct w:val="0"/>
        <w:autoSpaceDE/>
        <w:autoSpaceDN/>
        <w:bidi w:val="0"/>
        <w:snapToGrid/>
        <w:spacing w:line="600" w:lineRule="exact"/>
        <w:ind w:leftChars="0"/>
        <w:jc w:val="left"/>
        <w:textAlignment w:val="auto"/>
        <w:rPr>
          <w:rFonts w:hint="eastAsia" w:ascii="仿宋" w:hAnsi="仿宋" w:eastAsia="仿宋" w:cs="仿宋"/>
          <w:b/>
          <w:bCs/>
          <w:sz w:val="28"/>
          <w:szCs w:val="28"/>
          <w:lang w:val="en-US" w:eastAsia="zh-CN"/>
        </w:rPr>
      </w:pPr>
    </w:p>
    <w:p>
      <w:pPr>
        <w:numPr>
          <w:ilvl w:val="0"/>
          <w:numId w:val="0"/>
        </w:numPr>
        <w:spacing w:line="240" w:lineRule="auto"/>
        <w:jc w:val="left"/>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全力维护消费者权益保护</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sz w:val="28"/>
          <w:szCs w:val="28"/>
        </w:rPr>
        <w:t>该行严格落实《银行保险机构消费者权益保护管理办法》（中国银行保险监督管理委员会令〔2022〕第9号），按要求建立健全、优化完善消费者权益保护工作机制，构建全流程融入消保要素、全员承担消保责任的工作格局，实现在源头关注消保、从苗头加强消保、董事长带头抓消保，切实提升该行消保工作水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20</w:t>
      </w:r>
      <w:r>
        <w:rPr>
          <w:rFonts w:hint="eastAsia" w:ascii="仿宋" w:hAnsi="仿宋" w:eastAsia="仿宋" w:cs="仿宋"/>
          <w:b w:val="0"/>
          <w:bCs w:val="0"/>
          <w:sz w:val="28"/>
          <w:szCs w:val="28"/>
          <w:highlight w:val="none"/>
          <w:lang w:val="en-US" w:eastAsia="zh-CN"/>
        </w:rPr>
        <w:t>24年度，该行董事会消费者权益保护委员会规范委员会运作，提高委员会的议事质量和效率。全年，董事会消费者权益保护委员会共召开1次会议，审议了4项</w:t>
      </w:r>
      <w:r>
        <w:rPr>
          <w:rFonts w:hint="eastAsia" w:ascii="仿宋" w:hAnsi="仿宋" w:eastAsia="仿宋" w:cs="仿宋"/>
          <w:b w:val="0"/>
          <w:bCs w:val="0"/>
          <w:sz w:val="28"/>
          <w:szCs w:val="28"/>
          <w:lang w:val="en-US" w:eastAsia="zh-CN"/>
        </w:rPr>
        <w:t>议题。在主任委员的召集下，按照议事规则，本年度会议所有委员都积极履职，认真审查报告，提出建设性意见和建议，推动提升该行消费者权益保护水平。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jc w:val="left"/>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该行2024年度无重大投诉，无有责投诉。</w:t>
      </w:r>
    </w:p>
    <w:p>
      <w:pPr>
        <w:keepNext w:val="0"/>
        <w:keepLines w:val="0"/>
        <w:pageBreakBefore w:val="0"/>
        <w:numPr>
          <w:ilvl w:val="-1"/>
          <w:numId w:val="0"/>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pStyle w:val="2"/>
        <w:rPr>
          <w:rFonts w:hint="eastAsia" w:ascii="仿宋" w:hAnsi="仿宋" w:eastAsia="仿宋" w:cs="仿宋"/>
          <w:b/>
          <w:bCs/>
          <w:sz w:val="28"/>
          <w:szCs w:val="28"/>
          <w:lang w:val="en-US" w:eastAsia="zh-CN"/>
        </w:rPr>
      </w:pPr>
    </w:p>
    <w:p>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br w:type="page"/>
      </w:r>
    </w:p>
    <w:p>
      <w:pPr>
        <w:keepNext w:val="0"/>
        <w:keepLines w:val="0"/>
        <w:pageBreakBefore w:val="0"/>
        <w:numPr>
          <w:ilvl w:val="-1"/>
          <w:numId w:val="0"/>
        </w:numPr>
        <w:kinsoku/>
        <w:wordWrap/>
        <w:overflowPunct/>
        <w:topLinePunct w:val="0"/>
        <w:autoSpaceDE/>
        <w:autoSpaceDN/>
        <w:bidi w:val="0"/>
        <w:snapToGrid/>
        <w:spacing w:line="600" w:lineRule="exact"/>
        <w:ind w:left="0" w:leftChars="0" w:firstLine="0" w:firstLineChars="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爱心公益责任</w:t>
      </w:r>
    </w:p>
    <w:p>
      <w:pPr>
        <w:keepNext w:val="0"/>
        <w:keepLines w:val="0"/>
        <w:pageBreakBefore w:val="0"/>
        <w:widowControl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_GB2312" w:hAnsi="仿宋_GB2312" w:eastAsia="仿宋_GB2312" w:cs="仿宋_GB2312"/>
          <w:sz w:val="28"/>
          <w:szCs w:val="28"/>
          <w:highlight w:val="none"/>
          <w:lang w:val="en-US" w:eastAsia="zh-CN"/>
        </w:rPr>
      </w:pPr>
      <w:r>
        <w:rPr>
          <w:rFonts w:hint="eastAsia" w:ascii="仿宋" w:hAnsi="仿宋" w:eastAsia="仿宋" w:cs="仿宋"/>
          <w:b w:val="0"/>
          <w:bCs w:val="0"/>
          <w:sz w:val="28"/>
          <w:szCs w:val="28"/>
          <w:highlight w:val="none"/>
          <w:lang w:val="en-US" w:eastAsia="zh-CN"/>
        </w:rPr>
        <w:t>泰安沪农商村镇银行始终热心社会公益。从依托主发起行到村行自发，从周边社区到偏远村居，从基础设施到文化教育，</w:t>
      </w:r>
      <w:r>
        <w:rPr>
          <w:rFonts w:hint="eastAsia" w:ascii="仿宋" w:hAnsi="仿宋" w:eastAsia="仿宋" w:cs="仿宋"/>
          <w:sz w:val="28"/>
          <w:szCs w:val="28"/>
          <w:highlight w:val="none"/>
        </w:rPr>
        <w:t>该行以“奉献、友爱、互助、进步”的志愿精神为指引，围绕环境保护、扶弱助困、社区服务等领域，常态化开展形式多样的志愿活动，形成了全员参与、多元联动的公益格局，为地方民生改善与社会和谐发展注入温暖力量。</w:t>
      </w:r>
    </w:p>
    <w:p>
      <w:pPr>
        <w:keepNext w:val="0"/>
        <w:keepLines w:val="0"/>
        <w:pageBreakBefore w:val="0"/>
        <w:widowControl w:val="0"/>
        <w:numPr>
          <w:ilvl w:val="0"/>
          <w:numId w:val="0"/>
        </w:numPr>
        <w:kinsoku/>
        <w:wordWrap/>
        <w:overflowPunct/>
        <w:topLinePunct w:val="0"/>
        <w:autoSpaceDE/>
        <w:autoSpaceDN/>
        <w:bidi w:val="0"/>
        <w:snapToGrid/>
        <w:spacing w:line="600" w:lineRule="exact"/>
        <w:ind w:firstLine="560" w:firstLineChars="200"/>
        <w:jc w:val="left"/>
        <w:textAlignment w:val="auto"/>
        <w:rPr>
          <w:rFonts w:hint="eastAsia" w:ascii="仿宋" w:hAnsi="仿宋" w:eastAsia="仿宋" w:cs="仿宋"/>
          <w:b w:val="0"/>
          <w:bCs w:val="0"/>
          <w:sz w:val="28"/>
          <w:szCs w:val="28"/>
          <w:highlight w:val="none"/>
          <w:lang w:val="en-US" w:eastAsia="zh-CN"/>
        </w:rPr>
      </w:pPr>
      <w:r>
        <w:rPr>
          <w:rFonts w:hint="eastAsia" w:ascii="仿宋" w:hAnsi="仿宋" w:eastAsia="仿宋" w:cs="仿宋"/>
          <w:sz w:val="28"/>
          <w:szCs w:val="28"/>
          <w:highlight w:val="none"/>
        </w:rPr>
        <w:t>作为扎根地方、心系民生的金融机构，</w:t>
      </w:r>
      <w:r>
        <w:rPr>
          <w:rFonts w:hint="eastAsia" w:ascii="仿宋" w:hAnsi="仿宋" w:eastAsia="仿宋" w:cs="仿宋"/>
          <w:sz w:val="28"/>
          <w:szCs w:val="28"/>
          <w:highlight w:val="none"/>
          <w:lang w:val="en-US" w:eastAsia="zh-CN"/>
        </w:rPr>
        <w:t>该行</w:t>
      </w:r>
      <w:r>
        <w:rPr>
          <w:rFonts w:hint="eastAsia" w:ascii="仿宋" w:hAnsi="仿宋" w:eastAsia="仿宋" w:cs="仿宋"/>
          <w:sz w:val="28"/>
          <w:szCs w:val="28"/>
          <w:highlight w:val="none"/>
        </w:rPr>
        <w:t>在稳健经营的同时，积极践行社会责任，持续投身社会公益事业。近年来，</w:t>
      </w:r>
      <w:r>
        <w:rPr>
          <w:rFonts w:hint="eastAsia" w:ascii="仿宋" w:hAnsi="仿宋" w:eastAsia="仿宋" w:cs="仿宋"/>
          <w:sz w:val="28"/>
          <w:szCs w:val="28"/>
          <w:highlight w:val="none"/>
          <w:lang w:eastAsia="zh-CN"/>
        </w:rPr>
        <w:t>该</w:t>
      </w:r>
      <w:r>
        <w:rPr>
          <w:rFonts w:hint="eastAsia" w:ascii="仿宋" w:hAnsi="仿宋" w:eastAsia="仿宋" w:cs="仿宋"/>
          <w:sz w:val="28"/>
          <w:szCs w:val="28"/>
          <w:highlight w:val="none"/>
        </w:rPr>
        <w:t>行聚焦弱势群体帮扶与社会发展需求，通过慈善捐赠、物资援助、志愿服务等形式，在扶弱济困、教育支持等领域开展了一系列公益行动，切实为地方民生改善注入金融温度。</w:t>
      </w:r>
    </w:p>
    <w:p>
      <w:pPr>
        <w:pStyle w:val="2"/>
        <w:ind w:left="0" w:leftChars="0" w:firstLine="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387975" cy="3959225"/>
            <wp:effectExtent l="0" t="0" r="6985" b="3175"/>
            <wp:docPr id="7" name="图片 7" descr="_cgi-bin_mmwebwx-bin_webwxgetmsgimg__&amp;MsgID=4850659788950616032&amp;skey=@crypt_5e420405_f831abe709cab63410744d33d066f057&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_cgi-bin_mmwebwx-bin_webwxgetmsgimg__&amp;MsgID=4850659788950616032&amp;skey=@crypt_5e420405_f831abe709cab63410744d33d066f057&amp;mmweb_appid=wx_webfilehelper"/>
                    <pic:cNvPicPr>
                      <a:picLocks noChangeAspect="1"/>
                    </pic:cNvPicPr>
                  </pic:nvPicPr>
                  <pic:blipFill>
                    <a:blip r:embed="rId10"/>
                    <a:stretch>
                      <a:fillRect/>
                    </a:stretch>
                  </pic:blipFill>
                  <pic:spPr>
                    <a:xfrm>
                      <a:off x="0" y="0"/>
                      <a:ext cx="5387975" cy="3959225"/>
                    </a:xfrm>
                    <a:prstGeom prst="rect">
                      <a:avLst/>
                    </a:prstGeom>
                  </pic:spPr>
                </pic:pic>
              </a:graphicData>
            </a:graphic>
          </wp:inline>
        </w:drawing>
      </w:r>
    </w:p>
    <w:p>
      <w:pPr>
        <w:pStyle w:val="2"/>
        <w:ind w:left="0" w:leftChars="0" w:firstLine="0" w:firstLineChars="0"/>
        <w:rPr>
          <w:rFonts w:hint="eastAsia" w:ascii="仿宋" w:hAnsi="仿宋" w:eastAsia="仿宋" w:cs="仿宋"/>
          <w:sz w:val="28"/>
          <w:szCs w:val="28"/>
          <w:lang w:eastAsia="zh-CN"/>
        </w:rPr>
      </w:pPr>
    </w:p>
    <w:p>
      <w:pPr>
        <w:pStyle w:val="2"/>
        <w:ind w:left="0" w:leftChars="0" w:firstLine="0" w:firstLineChars="0"/>
        <w:rPr>
          <w:rFonts w:hint="eastAsia" w:ascii="仿宋" w:hAnsi="仿宋" w:eastAsia="仿宋" w:cs="仿宋"/>
          <w:sz w:val="28"/>
          <w:szCs w:val="28"/>
          <w:lang w:eastAsia="zh-CN"/>
        </w:rPr>
      </w:pPr>
    </w:p>
    <w:p>
      <w:pPr>
        <w:pStyle w:val="2"/>
        <w:ind w:left="0" w:leftChars="0" w:firstLine="0" w:firstLineChars="0"/>
        <w:rPr>
          <w:rFonts w:hint="eastAsia" w:ascii="仿宋" w:hAnsi="仿宋" w:eastAsia="仿宋" w:cs="仿宋"/>
          <w:sz w:val="28"/>
          <w:szCs w:val="28"/>
          <w:lang w:eastAsia="zh-CN"/>
        </w:rPr>
      </w:pPr>
    </w:p>
    <w:p>
      <w:pPr>
        <w:pStyle w:val="2"/>
        <w:ind w:left="0" w:leftChars="0" w:firstLine="0" w:firstLineChars="0"/>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265420" cy="3947795"/>
            <wp:effectExtent l="0" t="0" r="7620" b="14605"/>
            <wp:docPr id="4" name="图片 4" descr="db2dcf46f3253575a183bbceed4086e0_com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b2dcf46f3253575a183bbceed4086e0_compress"/>
                    <pic:cNvPicPr>
                      <a:picLocks noChangeAspect="1"/>
                    </pic:cNvPicPr>
                  </pic:nvPicPr>
                  <pic:blipFill>
                    <a:blip r:embed="rId11"/>
                    <a:stretch>
                      <a:fillRect/>
                    </a:stretch>
                  </pic:blipFill>
                  <pic:spPr>
                    <a:xfrm>
                      <a:off x="0" y="0"/>
                      <a:ext cx="5265420" cy="3947795"/>
                    </a:xfrm>
                    <a:prstGeom prst="rect">
                      <a:avLst/>
                    </a:prstGeom>
                  </pic:spPr>
                </pic:pic>
              </a:graphicData>
            </a:graphic>
          </wp:inline>
        </w:drawing>
      </w:r>
    </w:p>
    <w:p>
      <w:pPr>
        <w:pStyle w:val="2"/>
        <w:ind w:left="0" w:leftChars="0" w:firstLine="0" w:firstLineChars="0"/>
        <w:rPr>
          <w:rFonts w:hint="eastAsia" w:ascii="仿宋" w:hAnsi="仿宋" w:eastAsia="仿宋" w:cs="仿宋"/>
          <w:sz w:val="28"/>
          <w:szCs w:val="28"/>
          <w:lang w:eastAsia="zh-CN"/>
        </w:rPr>
      </w:pPr>
    </w:p>
    <w:p>
      <w:pPr>
        <w:rPr>
          <w:rFonts w:hint="eastAsia" w:ascii="仿宋" w:hAnsi="仿宋" w:eastAsia="仿宋" w:cs="仿宋"/>
          <w:sz w:val="28"/>
          <w:szCs w:val="28"/>
          <w:highlight w:val="yellow"/>
          <w:lang w:val="en-US" w:eastAsia="zh-CN"/>
        </w:rPr>
      </w:pPr>
      <w:r>
        <w:rPr>
          <w:rFonts w:hint="eastAsia" w:ascii="仿宋" w:hAnsi="仿宋" w:eastAsia="仿宋" w:cs="仿宋"/>
          <w:sz w:val="28"/>
          <w:szCs w:val="28"/>
          <w:lang w:val="en-US" w:eastAsia="zh-CN"/>
        </w:rPr>
        <w:br w:type="page"/>
      </w: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pPr>
      <w:bookmarkStart w:id="0" w:name="_GoBack"/>
      <w:bookmarkEnd w:id="0"/>
    </w:p>
    <w:p>
      <w:pPr>
        <w:keepNext w:val="0"/>
        <w:keepLines w:val="0"/>
        <w:pageBreakBefore w:val="0"/>
        <w:kinsoku/>
        <w:wordWrap/>
        <w:overflowPunct/>
        <w:topLinePunct w:val="0"/>
        <w:autoSpaceDE/>
        <w:autoSpaceDN/>
        <w:bidi w:val="0"/>
        <w:snapToGrid/>
        <w:spacing w:line="600" w:lineRule="exact"/>
        <w:jc w:val="center"/>
        <w:textAlignment w:val="auto"/>
        <w:rPr>
          <w:rFonts w:ascii="仿宋" w:hAnsi="仿宋" w:eastAsia="仿宋" w:cs="仿宋"/>
          <w:b/>
          <w:bCs/>
          <w:sz w:val="32"/>
          <w:szCs w:val="32"/>
          <w:highlight w:val="none"/>
        </w:rPr>
      </w:pPr>
      <w:r>
        <w:rPr>
          <w:rFonts w:hint="eastAsia" w:ascii="仿宋" w:hAnsi="仿宋" w:eastAsia="仿宋" w:cs="仿宋"/>
          <w:b/>
          <w:bCs/>
          <w:sz w:val="32"/>
          <w:szCs w:val="32"/>
          <w:highlight w:val="none"/>
        </w:rPr>
        <w:t>读者反馈</w:t>
      </w:r>
    </w:p>
    <w:p>
      <w:pPr>
        <w:keepNext w:val="0"/>
        <w:keepLines w:val="0"/>
        <w:pageBreakBefore w:val="0"/>
        <w:kinsoku/>
        <w:wordWrap/>
        <w:overflowPunct/>
        <w:topLinePunct w:val="0"/>
        <w:autoSpaceDE/>
        <w:autoSpaceDN/>
        <w:bidi w:val="0"/>
        <w:snapToGrid/>
        <w:spacing w:line="600" w:lineRule="exact"/>
        <w:ind w:firstLine="480" w:firstLineChars="200"/>
        <w:textAlignment w:val="auto"/>
        <w:rPr>
          <w:rFonts w:ascii="仿宋" w:hAnsi="仿宋" w:eastAsia="仿宋" w:cs="仿宋"/>
          <w:sz w:val="24"/>
          <w:highlight w:val="none"/>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感谢您阅读《</w:t>
      </w:r>
      <w:r>
        <w:rPr>
          <w:rFonts w:hint="eastAsia" w:ascii="仿宋" w:hAnsi="仿宋" w:eastAsia="仿宋" w:cs="仿宋"/>
          <w:sz w:val="24"/>
          <w:szCs w:val="24"/>
          <w:highlight w:val="none"/>
          <w:lang w:val="en-US" w:eastAsia="zh-CN"/>
        </w:rPr>
        <w:t>泰安沪</w:t>
      </w:r>
      <w:r>
        <w:rPr>
          <w:rFonts w:hint="eastAsia" w:ascii="仿宋" w:hAnsi="仿宋" w:eastAsia="仿宋" w:cs="仿宋"/>
          <w:sz w:val="24"/>
          <w:szCs w:val="24"/>
          <w:highlight w:val="none"/>
        </w:rPr>
        <w:t>农商</w:t>
      </w:r>
      <w:r>
        <w:rPr>
          <w:rFonts w:hint="eastAsia" w:ascii="仿宋" w:hAnsi="仿宋" w:eastAsia="仿宋" w:cs="仿宋"/>
          <w:sz w:val="24"/>
          <w:szCs w:val="24"/>
          <w:highlight w:val="none"/>
          <w:lang w:val="en-US" w:eastAsia="zh-CN"/>
        </w:rPr>
        <w:t>村镇</w:t>
      </w:r>
      <w:r>
        <w:rPr>
          <w:rFonts w:hint="eastAsia" w:ascii="仿宋" w:hAnsi="仿宋" w:eastAsia="仿宋" w:cs="仿宋"/>
          <w:sz w:val="24"/>
          <w:szCs w:val="24"/>
          <w:highlight w:val="none"/>
        </w:rPr>
        <w:t>银行20</w:t>
      </w:r>
      <w:r>
        <w:rPr>
          <w:rFonts w:hint="eastAsia" w:ascii="仿宋" w:hAnsi="仿宋" w:eastAsia="仿宋" w:cs="仿宋"/>
          <w:sz w:val="24"/>
          <w:szCs w:val="24"/>
          <w:highlight w:val="none"/>
          <w:lang w:val="en-US" w:eastAsia="zh-CN"/>
        </w:rPr>
        <w:t>24</w:t>
      </w:r>
      <w:r>
        <w:rPr>
          <w:rFonts w:hint="eastAsia" w:ascii="仿宋" w:hAnsi="仿宋" w:eastAsia="仿宋" w:cs="仿宋"/>
          <w:sz w:val="24"/>
          <w:szCs w:val="24"/>
          <w:highlight w:val="none"/>
        </w:rPr>
        <w:t>年社会责任报告》。为更好地向您及其他利益相关方提供有价值的信息，促进</w:t>
      </w:r>
      <w:r>
        <w:rPr>
          <w:rFonts w:hint="eastAsia" w:ascii="仿宋" w:hAnsi="仿宋" w:eastAsia="仿宋" w:cs="仿宋"/>
          <w:sz w:val="24"/>
          <w:szCs w:val="24"/>
          <w:highlight w:val="none"/>
          <w:lang w:val="en-US" w:eastAsia="zh-CN"/>
        </w:rPr>
        <w:t>该</w:t>
      </w:r>
      <w:r>
        <w:rPr>
          <w:rFonts w:hint="eastAsia" w:ascii="仿宋" w:hAnsi="仿宋" w:eastAsia="仿宋" w:cs="仿宋"/>
          <w:sz w:val="24"/>
          <w:szCs w:val="24"/>
          <w:highlight w:val="none"/>
        </w:rPr>
        <w:t>行提高履行社会责任的能力和水平，</w:t>
      </w:r>
      <w:r>
        <w:rPr>
          <w:rFonts w:hint="eastAsia" w:ascii="仿宋" w:hAnsi="仿宋" w:eastAsia="仿宋" w:cs="仿宋"/>
          <w:sz w:val="24"/>
          <w:szCs w:val="24"/>
          <w:highlight w:val="none"/>
          <w:lang w:val="en-US" w:eastAsia="zh-CN"/>
        </w:rPr>
        <w:t>该行</w:t>
      </w:r>
      <w:r>
        <w:rPr>
          <w:rFonts w:hint="eastAsia" w:ascii="仿宋" w:hAnsi="仿宋" w:eastAsia="仿宋" w:cs="仿宋"/>
          <w:sz w:val="24"/>
          <w:szCs w:val="24"/>
          <w:highlight w:val="none"/>
        </w:rPr>
        <w:t>诚挚邀请您对本报告提出宝贵意见和建议，并通过以下方式反馈。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电话：</w:t>
      </w:r>
      <w:r>
        <w:rPr>
          <w:rFonts w:hint="eastAsia" w:ascii="仿宋" w:hAnsi="仿宋" w:eastAsia="仿宋" w:cs="仿宋"/>
          <w:sz w:val="24"/>
          <w:szCs w:val="24"/>
          <w:highlight w:val="none"/>
          <w:lang w:val="en-US" w:eastAsia="zh-CN"/>
        </w:rPr>
        <w:t>0538-8067677</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 xml:space="preserve"> </w:t>
      </w:r>
      <w:r>
        <w:rPr>
          <w:rFonts w:hint="eastAsia" w:ascii="仿宋" w:hAnsi="仿宋" w:eastAsia="仿宋" w:cs="仿宋"/>
          <w:sz w:val="24"/>
          <w:szCs w:val="24"/>
          <w:highlight w:val="none"/>
          <w:lang w:val="en-US" w:eastAsia="zh-CN"/>
        </w:rPr>
        <w:t xml:space="preserve">  邮件</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fldChar w:fldCharType="begin"/>
      </w:r>
      <w:r>
        <w:rPr>
          <w:rFonts w:hint="eastAsia" w:ascii="仿宋" w:hAnsi="仿宋" w:eastAsia="仿宋" w:cs="仿宋"/>
          <w:sz w:val="24"/>
          <w:szCs w:val="24"/>
          <w:highlight w:val="none"/>
          <w:lang w:val="en-US" w:eastAsia="zh-CN"/>
        </w:rPr>
        <w:instrText xml:space="preserve"> HYPERLINK "mailto:ta_hns@163.com" </w:instrText>
      </w:r>
      <w:r>
        <w:rPr>
          <w:rFonts w:hint="eastAsia" w:ascii="仿宋" w:hAnsi="仿宋" w:eastAsia="仿宋" w:cs="仿宋"/>
          <w:sz w:val="24"/>
          <w:szCs w:val="24"/>
          <w:highlight w:val="none"/>
          <w:lang w:val="en-US" w:eastAsia="zh-CN"/>
        </w:rPr>
        <w:fldChar w:fldCharType="separate"/>
      </w:r>
      <w:r>
        <w:rPr>
          <w:rFonts w:hint="eastAsia" w:ascii="仿宋" w:hAnsi="仿宋" w:eastAsia="仿宋" w:cs="仿宋"/>
          <w:sz w:val="24"/>
          <w:szCs w:val="24"/>
          <w:highlight w:val="none"/>
          <w:lang w:val="en-US" w:eastAsia="zh-CN"/>
        </w:rPr>
        <w:t>ta_hns@126.com</w:t>
      </w:r>
      <w:r>
        <w:rPr>
          <w:rFonts w:hint="eastAsia" w:ascii="仿宋" w:hAnsi="仿宋" w:eastAsia="仿宋" w:cs="仿宋"/>
          <w:sz w:val="24"/>
          <w:szCs w:val="24"/>
          <w:highlight w:val="non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地址</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泰安市岱岳区长城路中段名仕尚座A8     邮编：271000</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联系人：</w:t>
      </w:r>
      <w:r>
        <w:rPr>
          <w:rFonts w:hint="eastAsia" w:ascii="仿宋" w:hAnsi="仿宋" w:eastAsia="仿宋" w:cs="仿宋"/>
          <w:sz w:val="24"/>
          <w:szCs w:val="24"/>
          <w:highlight w:val="none"/>
          <w:lang w:val="en-US" w:eastAsia="zh-CN"/>
        </w:rPr>
        <w:t>综合管理部</w:t>
      </w:r>
    </w:p>
    <w:p>
      <w:pPr>
        <w:pStyle w:val="5"/>
        <w:keepNext w:val="0"/>
        <w:keepLines w:val="0"/>
        <w:pageBreakBefore w:val="0"/>
        <w:widowControl w:val="0"/>
        <w:kinsoku/>
        <w:wordWrap/>
        <w:overflowPunct/>
        <w:topLinePunct w:val="0"/>
        <w:autoSpaceDE/>
        <w:autoSpaceDN/>
        <w:bidi w:val="0"/>
        <w:adjustRightInd/>
        <w:snapToGrid/>
        <w:spacing w:after="0" w:line="600" w:lineRule="exact"/>
        <w:textAlignment w:val="auto"/>
        <w:rPr>
          <w:sz w:val="24"/>
          <w:szCs w:val="24"/>
          <w:highlight w:val="none"/>
        </w:rPr>
      </w:pP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您属于哪类利益相关方？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color w:val="000000"/>
          <w:kern w:val="0"/>
          <w:sz w:val="24"/>
          <w:szCs w:val="24"/>
          <w:highlight w:val="none"/>
        </w:rPr>
      </w:pP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股东与投资者</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客户</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员工</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政府</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监管机构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供应商与合作伙伴</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社区</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公众与媒体</w:t>
      </w: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其他</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w:t>
      </w:r>
      <w:r>
        <w:rPr>
          <w:rFonts w:hint="eastAsia" w:ascii="仿宋" w:hAnsi="仿宋" w:eastAsia="仿宋" w:cs="仿宋"/>
          <w:sz w:val="24"/>
          <w:szCs w:val="24"/>
          <w:highlight w:val="none"/>
          <w:lang w:eastAsia="zh-CN"/>
        </w:rPr>
        <w:t>该行</w:t>
      </w:r>
      <w:r>
        <w:rPr>
          <w:rFonts w:hint="eastAsia" w:ascii="仿宋" w:hAnsi="仿宋" w:eastAsia="仿宋" w:cs="仿宋"/>
          <w:sz w:val="24"/>
          <w:szCs w:val="24"/>
          <w:highlight w:val="none"/>
        </w:rPr>
        <w:t>企业社会责任报告的总体评价：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□好□较好□一般□较不好□不好</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w:t>
      </w:r>
      <w:r>
        <w:rPr>
          <w:rFonts w:hint="eastAsia" w:ascii="仿宋" w:hAnsi="仿宋" w:eastAsia="仿宋" w:cs="仿宋"/>
          <w:sz w:val="24"/>
          <w:szCs w:val="24"/>
          <w:highlight w:val="none"/>
          <w:lang w:eastAsia="zh-CN"/>
        </w:rPr>
        <w:t>该行</w:t>
      </w:r>
      <w:r>
        <w:rPr>
          <w:rFonts w:hint="eastAsia" w:ascii="仿宋" w:hAnsi="仿宋" w:eastAsia="仿宋" w:cs="仿宋"/>
          <w:sz w:val="24"/>
          <w:szCs w:val="24"/>
          <w:highlight w:val="none"/>
        </w:rPr>
        <w:t>履行经济、社会、环境责任的评价：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经济责任：□好□较好□一般□较不好□不好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社会责任：□好□较好□一般□较不好□不好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环境责任：□好□较好□一般□较不好□不好</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您认为本报告能否反映</w:t>
      </w:r>
      <w:r>
        <w:rPr>
          <w:rFonts w:hint="eastAsia" w:ascii="仿宋" w:hAnsi="仿宋" w:eastAsia="仿宋" w:cs="仿宋"/>
          <w:sz w:val="24"/>
          <w:szCs w:val="24"/>
          <w:highlight w:val="none"/>
          <w:lang w:eastAsia="zh-CN"/>
        </w:rPr>
        <w:t>该行</w:t>
      </w:r>
      <w:r>
        <w:rPr>
          <w:rFonts w:hint="eastAsia" w:ascii="仿宋" w:hAnsi="仿宋" w:eastAsia="仿宋" w:cs="仿宋"/>
          <w:sz w:val="24"/>
          <w:szCs w:val="24"/>
          <w:highlight w:val="none"/>
        </w:rPr>
        <w:t>的社会责任实践对经济、社会、环境的影响？</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□能很好反映□能较好反映□能一般反映□不太能反映□不能反映</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您认为本报告披露的信息、数据、指标的清晰度、准确度和完整性如何？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清晰度：□好□较好□一般□较不好□不好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准确度：□好□较好□一般□较不好□不好</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完整性：□好□较好□一般□较不好□不好</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您认为本报告的内容安排和版式设计是否方便阅读？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□是□一般□否</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left="0"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您对</w:t>
      </w:r>
      <w:r>
        <w:rPr>
          <w:rFonts w:hint="eastAsia" w:ascii="仿宋" w:hAnsi="仿宋" w:eastAsia="仿宋" w:cs="仿宋"/>
          <w:sz w:val="24"/>
          <w:szCs w:val="24"/>
          <w:highlight w:val="none"/>
          <w:lang w:eastAsia="zh-CN"/>
        </w:rPr>
        <w:t>该行</w:t>
      </w:r>
      <w:r>
        <w:rPr>
          <w:rFonts w:hint="eastAsia" w:ascii="仿宋" w:hAnsi="仿宋" w:eastAsia="仿宋" w:cs="仿宋"/>
          <w:sz w:val="24"/>
          <w:szCs w:val="24"/>
          <w:highlight w:val="none"/>
        </w:rPr>
        <w:t>企业社会责任工作和本报告的其他意见和建议。</w:t>
      </w:r>
    </w:p>
    <w:p>
      <w:pPr>
        <w:keepNext w:val="0"/>
        <w:keepLines w:val="0"/>
        <w:pageBreakBefore w:val="0"/>
        <w:kinsoku/>
        <w:wordWrap/>
        <w:overflowPunct/>
        <w:topLinePunct w:val="0"/>
        <w:autoSpaceDE/>
        <w:autoSpaceDN/>
        <w:bidi w:val="0"/>
        <w:snapToGrid/>
        <w:spacing w:line="600" w:lineRule="exact"/>
        <w:textAlignment w:val="auto"/>
        <w:rPr>
          <w:rFonts w:ascii="仿宋" w:hAnsi="仿宋" w:eastAsia="仿宋" w:cs="仿宋"/>
          <w:sz w:val="22"/>
          <w:szCs w:val="22"/>
          <w:highlight w:val="none"/>
        </w:rPr>
      </w:pPr>
    </w:p>
    <w:p>
      <w:pPr>
        <w:keepNext w:val="0"/>
        <w:keepLines w:val="0"/>
        <w:pageBreakBefore w:val="0"/>
        <w:numPr>
          <w:ilvl w:val="0"/>
          <w:numId w:val="0"/>
        </w:numPr>
        <w:kinsoku/>
        <w:wordWrap/>
        <w:overflowPunct/>
        <w:topLinePunct w:val="0"/>
        <w:autoSpaceDE/>
        <w:autoSpaceDN/>
        <w:bidi w:val="0"/>
        <w:snapToGrid/>
        <w:spacing w:line="600" w:lineRule="exact"/>
        <w:jc w:val="left"/>
        <w:textAlignment w:val="auto"/>
        <w:rPr>
          <w:rFonts w:hint="eastAsia" w:ascii="仿宋" w:hAnsi="仿宋" w:eastAsia="仿宋" w:cs="仿宋"/>
          <w:b/>
          <w:bCs/>
          <w:sz w:val="28"/>
          <w:szCs w:val="28"/>
          <w:lang w:val="en-US" w:eastAsia="zh-CN"/>
        </w:rPr>
      </w:pPr>
    </w:p>
    <w:p>
      <w:pPr>
        <w:keepNext w:val="0"/>
        <w:keepLines w:val="0"/>
        <w:pageBreakBefore w:val="0"/>
        <w:kinsoku/>
        <w:wordWrap/>
        <w:overflowPunct/>
        <w:topLinePunct w:val="0"/>
        <w:autoSpaceDE/>
        <w:autoSpaceDN/>
        <w:bidi w:val="0"/>
        <w:snapToGrid/>
        <w:spacing w:line="600" w:lineRule="exact"/>
        <w:textAlignment w:val="auto"/>
        <w:rPr>
          <w:rFonts w:hint="eastAsia" w:ascii="仿宋" w:hAnsi="仿宋" w:eastAsia="仿宋" w:cs="仿宋"/>
          <w:b/>
          <w:bCs/>
          <w:sz w:val="28"/>
          <w:szCs w:val="28"/>
          <w:lang w:val="en-US" w:eastAsia="zh-CN"/>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3463E"/>
    <w:multiLevelType w:val="singleLevel"/>
    <w:tmpl w:val="1273463E"/>
    <w:lvl w:ilvl="0" w:tentative="0">
      <w:start w:val="1"/>
      <w:numFmt w:val="decimal"/>
      <w:lvlText w:val="%1."/>
      <w:lvlJc w:val="left"/>
      <w:pPr>
        <w:ind w:left="425" w:hanging="425"/>
      </w:pPr>
      <w:rPr>
        <w:rFonts w:hint="default"/>
      </w:rPr>
    </w:lvl>
  </w:abstractNum>
  <w:abstractNum w:abstractNumId="1">
    <w:nsid w:val="151217AE"/>
    <w:multiLevelType w:val="singleLevel"/>
    <w:tmpl w:val="151217AE"/>
    <w:lvl w:ilvl="0" w:tentative="0">
      <w:start w:val="3"/>
      <w:numFmt w:val="chineseCounting"/>
      <w:suff w:val="space"/>
      <w:lvlText w:val="第%1节"/>
      <w:lvlJc w:val="left"/>
      <w:rPr>
        <w:rFonts w:hint="eastAsia"/>
      </w:rPr>
    </w:lvl>
  </w:abstractNum>
  <w:abstractNum w:abstractNumId="2">
    <w:nsid w:val="48E281F6"/>
    <w:multiLevelType w:val="singleLevel"/>
    <w:tmpl w:val="48E281F6"/>
    <w:lvl w:ilvl="0" w:tentative="0">
      <w:start w:val="1"/>
      <w:numFmt w:val="chineseCounting"/>
      <w:suff w:val="space"/>
      <w:lvlText w:val="第%1节"/>
      <w:lvlJc w:val="left"/>
      <w:rPr>
        <w:rFonts w:hint="eastAsia"/>
      </w:rPr>
    </w:lvl>
  </w:abstractNum>
  <w:abstractNum w:abstractNumId="3">
    <w:nsid w:val="7BC190C3"/>
    <w:multiLevelType w:val="singleLevel"/>
    <w:tmpl w:val="7BC190C3"/>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DA6B38"/>
    <w:rsid w:val="022353C1"/>
    <w:rsid w:val="038140E6"/>
    <w:rsid w:val="03C04063"/>
    <w:rsid w:val="052C719D"/>
    <w:rsid w:val="067F5080"/>
    <w:rsid w:val="076B00D8"/>
    <w:rsid w:val="08950206"/>
    <w:rsid w:val="08E628C0"/>
    <w:rsid w:val="0981197F"/>
    <w:rsid w:val="0BDA3067"/>
    <w:rsid w:val="0C576EBD"/>
    <w:rsid w:val="0C6641B3"/>
    <w:rsid w:val="0CF75C0C"/>
    <w:rsid w:val="0DA150F5"/>
    <w:rsid w:val="0EFC6F58"/>
    <w:rsid w:val="12AB4C4B"/>
    <w:rsid w:val="12E0341C"/>
    <w:rsid w:val="138C31C1"/>
    <w:rsid w:val="13C01A62"/>
    <w:rsid w:val="13DC1813"/>
    <w:rsid w:val="14260B02"/>
    <w:rsid w:val="15E5150A"/>
    <w:rsid w:val="17680B0C"/>
    <w:rsid w:val="18495F04"/>
    <w:rsid w:val="192E12E2"/>
    <w:rsid w:val="1A0903F1"/>
    <w:rsid w:val="1A09594A"/>
    <w:rsid w:val="1BE81711"/>
    <w:rsid w:val="1CE31874"/>
    <w:rsid w:val="1DFF5500"/>
    <w:rsid w:val="227E462E"/>
    <w:rsid w:val="22F17549"/>
    <w:rsid w:val="238C1FCF"/>
    <w:rsid w:val="244D765B"/>
    <w:rsid w:val="25530F4C"/>
    <w:rsid w:val="262402FE"/>
    <w:rsid w:val="270C5B90"/>
    <w:rsid w:val="28770D02"/>
    <w:rsid w:val="288F31DA"/>
    <w:rsid w:val="28C12E2E"/>
    <w:rsid w:val="2E18054D"/>
    <w:rsid w:val="2E817976"/>
    <w:rsid w:val="2E9737A3"/>
    <w:rsid w:val="2EF31EF9"/>
    <w:rsid w:val="30283BB9"/>
    <w:rsid w:val="3103168E"/>
    <w:rsid w:val="332C7427"/>
    <w:rsid w:val="3559207E"/>
    <w:rsid w:val="369C408E"/>
    <w:rsid w:val="37700BE0"/>
    <w:rsid w:val="3B1139DC"/>
    <w:rsid w:val="3B3E6B85"/>
    <w:rsid w:val="3CA645E5"/>
    <w:rsid w:val="3DA03CE3"/>
    <w:rsid w:val="3E772E9D"/>
    <w:rsid w:val="407341E5"/>
    <w:rsid w:val="428B3E6A"/>
    <w:rsid w:val="42CF6B2E"/>
    <w:rsid w:val="43530CFB"/>
    <w:rsid w:val="44731E96"/>
    <w:rsid w:val="45104EA0"/>
    <w:rsid w:val="45F47B9D"/>
    <w:rsid w:val="4650656B"/>
    <w:rsid w:val="478D5FA1"/>
    <w:rsid w:val="47D26D73"/>
    <w:rsid w:val="4A782B94"/>
    <w:rsid w:val="4B214890"/>
    <w:rsid w:val="4C4D3280"/>
    <w:rsid w:val="4D634455"/>
    <w:rsid w:val="4DF23982"/>
    <w:rsid w:val="4E7F035C"/>
    <w:rsid w:val="4EF42C0A"/>
    <w:rsid w:val="4F295208"/>
    <w:rsid w:val="4F4D7371"/>
    <w:rsid w:val="50A324ED"/>
    <w:rsid w:val="512F09A7"/>
    <w:rsid w:val="51C25640"/>
    <w:rsid w:val="51C47730"/>
    <w:rsid w:val="5242391E"/>
    <w:rsid w:val="52934EF4"/>
    <w:rsid w:val="53026345"/>
    <w:rsid w:val="53462EAB"/>
    <w:rsid w:val="54037FF0"/>
    <w:rsid w:val="545A4345"/>
    <w:rsid w:val="549C223F"/>
    <w:rsid w:val="55262462"/>
    <w:rsid w:val="567564EA"/>
    <w:rsid w:val="576B33C7"/>
    <w:rsid w:val="57705910"/>
    <w:rsid w:val="57C50466"/>
    <w:rsid w:val="57DC0307"/>
    <w:rsid w:val="58494D38"/>
    <w:rsid w:val="59B56855"/>
    <w:rsid w:val="5A0C7465"/>
    <w:rsid w:val="5A593714"/>
    <w:rsid w:val="5A923736"/>
    <w:rsid w:val="5AD32A01"/>
    <w:rsid w:val="5ADB5E14"/>
    <w:rsid w:val="5C316C98"/>
    <w:rsid w:val="5CC1443C"/>
    <w:rsid w:val="5D1219A6"/>
    <w:rsid w:val="5D242E5C"/>
    <w:rsid w:val="5DC50992"/>
    <w:rsid w:val="5EBE6CE2"/>
    <w:rsid w:val="5F286793"/>
    <w:rsid w:val="5F550D05"/>
    <w:rsid w:val="61E10A0D"/>
    <w:rsid w:val="631579B3"/>
    <w:rsid w:val="6375729B"/>
    <w:rsid w:val="65F049AC"/>
    <w:rsid w:val="68E8091E"/>
    <w:rsid w:val="69A16071"/>
    <w:rsid w:val="6A2F09B2"/>
    <w:rsid w:val="6A805F79"/>
    <w:rsid w:val="6AC1406F"/>
    <w:rsid w:val="6ECE54E6"/>
    <w:rsid w:val="6EE61184"/>
    <w:rsid w:val="6EFA1B04"/>
    <w:rsid w:val="6FDB1138"/>
    <w:rsid w:val="70566D8E"/>
    <w:rsid w:val="714C3362"/>
    <w:rsid w:val="71AC3484"/>
    <w:rsid w:val="72AD6F16"/>
    <w:rsid w:val="73293BFC"/>
    <w:rsid w:val="7546330E"/>
    <w:rsid w:val="763174F0"/>
    <w:rsid w:val="77364334"/>
    <w:rsid w:val="7B6206FE"/>
    <w:rsid w:val="7C51250E"/>
    <w:rsid w:val="7E1037F7"/>
    <w:rsid w:val="7E496A40"/>
    <w:rsid w:val="7EB947D4"/>
    <w:rsid w:val="7FA92D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unhideWhenUsed/>
    <w:qFormat/>
    <w:uiPriority w:val="0"/>
    <w:pPr>
      <w:keepNext/>
      <w:keepLines/>
      <w:spacing w:before="260" w:beforeLines="0" w:after="260" w:afterLines="0" w:line="416" w:lineRule="auto"/>
      <w:outlineLvl w:val="1"/>
    </w:pPr>
    <w:rPr>
      <w:rFonts w:ascii="Cambria" w:hAnsi="Cambria"/>
      <w:b/>
      <w:bCs/>
      <w:kern w:val="2"/>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pacing w:line="300" w:lineRule="auto"/>
      <w:ind w:left="315" w:firstLine="585"/>
    </w:pPr>
    <w:rPr>
      <w:sz w:val="24"/>
      <w:szCs w:val="20"/>
    </w:rPr>
  </w:style>
  <w:style w:type="paragraph" w:styleId="4">
    <w:name w:val="annotation text"/>
    <w:basedOn w:val="1"/>
    <w:qFormat/>
    <w:uiPriority w:val="0"/>
    <w:pPr>
      <w:jc w:val="left"/>
    </w:pPr>
  </w:style>
  <w:style w:type="paragraph" w:styleId="5">
    <w:name w:val="Body Text"/>
    <w:basedOn w:val="1"/>
    <w:next w:val="1"/>
    <w:qFormat/>
    <w:uiPriority w:val="0"/>
    <w:pPr>
      <w:spacing w:after="120"/>
    </w:pPr>
    <w:rPr>
      <w:szCs w:val="2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Office_11.8.2.9075_F1E327BC-269C-435d-A152-05C5408002CA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2022-03-08T09:25:00Z</dcterms:created>
  <dc:creator>何雨秋</dc:creator>
  <cp:lastModifiedBy>ta_yyb_css</cp:lastModifiedBy>
  <dcterms:modified xsi:type="dcterms:W3CDTF">2025-04-15T09:32:52Z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2052-11.8.2.9075</vt:lpwstr>
  </property>
  <property fmtid="{D5CDD505-2E9C-101B-9397-08002B2CF9AE}" pid="3" name="ICV">
    <vt:lpwstr>B6AE65BA845248E59BB5410663119FB4</vt:lpwstr>
  </property>
</Properties>
</file>